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9832D" w14:textId="77777777" w:rsidR="0068205E" w:rsidRDefault="0068205E" w:rsidP="00DC5357">
      <w:pPr>
        <w:spacing w:after="240"/>
        <w:jc w:val="center"/>
        <w:rPr>
          <w:rFonts w:asciiTheme="majorHAnsi" w:eastAsiaTheme="majorEastAsia" w:hAnsiTheme="majorHAnsi" w:cstheme="majorBidi"/>
          <w:b/>
          <w:bCs/>
          <w:color w:val="365F91" w:themeColor="accent1" w:themeShade="BF"/>
          <w:sz w:val="28"/>
          <w:szCs w:val="28"/>
        </w:rPr>
      </w:pPr>
    </w:p>
    <w:p w14:paraId="28B1101C" w14:textId="18B90F97" w:rsidR="0068205E" w:rsidRDefault="0068205E" w:rsidP="0068205E">
      <w:pPr>
        <w:spacing w:after="240"/>
        <w:jc w:val="cente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Gastos Tributários de ICMS - Nota Metodológica</w:t>
      </w:r>
    </w:p>
    <w:p w14:paraId="54F5BF33" w14:textId="2BC3CF0D" w:rsidR="006A4653" w:rsidRPr="001A352F" w:rsidRDefault="006A4653" w:rsidP="00DC5357">
      <w:pPr>
        <w:spacing w:after="240"/>
        <w:jc w:val="center"/>
        <w:rPr>
          <w:rFonts w:asciiTheme="majorHAnsi" w:eastAsiaTheme="majorEastAsia" w:hAnsiTheme="majorHAnsi" w:cstheme="majorBidi"/>
          <w:b/>
          <w:bCs/>
          <w:color w:val="365F91" w:themeColor="accent1" w:themeShade="BF"/>
          <w:sz w:val="28"/>
          <w:szCs w:val="28"/>
        </w:rPr>
      </w:pPr>
    </w:p>
    <w:sdt>
      <w:sdtPr>
        <w:rPr>
          <w:rFonts w:asciiTheme="minorHAnsi" w:eastAsiaTheme="minorHAnsi" w:hAnsiTheme="minorHAnsi" w:cstheme="minorBidi"/>
          <w:b w:val="0"/>
          <w:bCs w:val="0"/>
          <w:color w:val="auto"/>
          <w:sz w:val="22"/>
          <w:szCs w:val="22"/>
          <w:lang w:eastAsia="en-US"/>
        </w:rPr>
        <w:id w:val="1946024451"/>
        <w:docPartObj>
          <w:docPartGallery w:val="Table of Contents"/>
          <w:docPartUnique/>
        </w:docPartObj>
      </w:sdtPr>
      <w:sdtEndPr/>
      <w:sdtContent>
        <w:p w14:paraId="66ED0F20" w14:textId="77777777" w:rsidR="00975F5D" w:rsidRDefault="00975F5D">
          <w:pPr>
            <w:pStyle w:val="CabealhodoSumrio"/>
          </w:pPr>
          <w:r>
            <w:t>Sumário</w:t>
          </w:r>
        </w:p>
        <w:p w14:paraId="2A57D5F3" w14:textId="77777777" w:rsidR="00115D4C" w:rsidRPr="00115D4C" w:rsidRDefault="00115D4C" w:rsidP="00115D4C">
          <w:pPr>
            <w:rPr>
              <w:lang w:eastAsia="pt-BR"/>
            </w:rPr>
          </w:pPr>
        </w:p>
        <w:p w14:paraId="636E24B6" w14:textId="1989F6BE" w:rsidR="009F1109" w:rsidRDefault="00975F5D">
          <w:pPr>
            <w:pStyle w:val="Sumrio1"/>
            <w:rPr>
              <w:rFonts w:eastAsiaTheme="minorEastAsia"/>
              <w:noProof/>
              <w:kern w:val="2"/>
              <w:sz w:val="24"/>
              <w:szCs w:val="24"/>
              <w:lang w:eastAsia="pt-BR"/>
              <w14:ligatures w14:val="standardContextual"/>
            </w:rPr>
          </w:pPr>
          <w:r>
            <w:fldChar w:fldCharType="begin"/>
          </w:r>
          <w:r>
            <w:instrText xml:space="preserve"> TOC \o "1-3" \h \z \u </w:instrText>
          </w:r>
          <w:r>
            <w:fldChar w:fldCharType="separate"/>
          </w:r>
          <w:hyperlink w:anchor="_Toc182841735" w:history="1">
            <w:r w:rsidR="009F1109" w:rsidRPr="004E5B9C">
              <w:rPr>
                <w:rStyle w:val="Hyperlink"/>
                <w:noProof/>
              </w:rPr>
              <w:t>1.</w:t>
            </w:r>
            <w:r w:rsidR="009F1109">
              <w:rPr>
                <w:rFonts w:eastAsiaTheme="minorEastAsia"/>
                <w:noProof/>
                <w:kern w:val="2"/>
                <w:sz w:val="24"/>
                <w:szCs w:val="24"/>
                <w:lang w:eastAsia="pt-BR"/>
                <w14:ligatures w14:val="standardContextual"/>
              </w:rPr>
              <w:tab/>
            </w:r>
            <w:r w:rsidR="009F1109" w:rsidRPr="004E5B9C">
              <w:rPr>
                <w:rStyle w:val="Hyperlink"/>
                <w:noProof/>
              </w:rPr>
              <w:t>Conceitos gerais do gasto tributário de ICMS</w:t>
            </w:r>
            <w:r w:rsidR="009F1109">
              <w:rPr>
                <w:noProof/>
                <w:webHidden/>
              </w:rPr>
              <w:tab/>
            </w:r>
            <w:r w:rsidR="009F1109">
              <w:rPr>
                <w:noProof/>
                <w:webHidden/>
              </w:rPr>
              <w:fldChar w:fldCharType="begin"/>
            </w:r>
            <w:r w:rsidR="009F1109">
              <w:rPr>
                <w:noProof/>
                <w:webHidden/>
              </w:rPr>
              <w:instrText xml:space="preserve"> PAGEREF _Toc182841735 \h </w:instrText>
            </w:r>
            <w:r w:rsidR="009F1109">
              <w:rPr>
                <w:noProof/>
                <w:webHidden/>
              </w:rPr>
            </w:r>
            <w:r w:rsidR="009F1109">
              <w:rPr>
                <w:noProof/>
                <w:webHidden/>
              </w:rPr>
              <w:fldChar w:fldCharType="separate"/>
            </w:r>
            <w:r w:rsidR="009F1109">
              <w:rPr>
                <w:noProof/>
                <w:webHidden/>
              </w:rPr>
              <w:t>1</w:t>
            </w:r>
            <w:r w:rsidR="009F1109">
              <w:rPr>
                <w:noProof/>
                <w:webHidden/>
              </w:rPr>
              <w:fldChar w:fldCharType="end"/>
            </w:r>
          </w:hyperlink>
        </w:p>
        <w:p w14:paraId="13834F3C" w14:textId="4FB61F13" w:rsidR="009F1109" w:rsidRDefault="009F1109">
          <w:pPr>
            <w:pStyle w:val="Sumrio1"/>
            <w:rPr>
              <w:rFonts w:eastAsiaTheme="minorEastAsia"/>
              <w:noProof/>
              <w:kern w:val="2"/>
              <w:sz w:val="24"/>
              <w:szCs w:val="24"/>
              <w:lang w:eastAsia="pt-BR"/>
              <w14:ligatures w14:val="standardContextual"/>
            </w:rPr>
          </w:pPr>
          <w:hyperlink w:anchor="_Toc182841736" w:history="1">
            <w:r w:rsidRPr="004E5B9C">
              <w:rPr>
                <w:rStyle w:val="Hyperlink"/>
                <w:noProof/>
              </w:rPr>
              <w:t>2.</w:t>
            </w:r>
            <w:r>
              <w:rPr>
                <w:rFonts w:eastAsiaTheme="minorEastAsia"/>
                <w:noProof/>
                <w:kern w:val="2"/>
                <w:sz w:val="24"/>
                <w:szCs w:val="24"/>
                <w:lang w:eastAsia="pt-BR"/>
                <w14:ligatures w14:val="standardContextual"/>
              </w:rPr>
              <w:tab/>
            </w:r>
            <w:r w:rsidRPr="004E5B9C">
              <w:rPr>
                <w:rStyle w:val="Hyperlink"/>
                <w:noProof/>
              </w:rPr>
              <w:t>Benefícios que reduzem o débito destacado do imposto</w:t>
            </w:r>
            <w:r>
              <w:rPr>
                <w:noProof/>
                <w:webHidden/>
              </w:rPr>
              <w:tab/>
            </w:r>
            <w:r>
              <w:rPr>
                <w:noProof/>
                <w:webHidden/>
              </w:rPr>
              <w:fldChar w:fldCharType="begin"/>
            </w:r>
            <w:r>
              <w:rPr>
                <w:noProof/>
                <w:webHidden/>
              </w:rPr>
              <w:instrText xml:space="preserve"> PAGEREF _Toc182841736 \h </w:instrText>
            </w:r>
            <w:r>
              <w:rPr>
                <w:noProof/>
                <w:webHidden/>
              </w:rPr>
            </w:r>
            <w:r>
              <w:rPr>
                <w:noProof/>
                <w:webHidden/>
              </w:rPr>
              <w:fldChar w:fldCharType="separate"/>
            </w:r>
            <w:r>
              <w:rPr>
                <w:noProof/>
                <w:webHidden/>
              </w:rPr>
              <w:t>4</w:t>
            </w:r>
            <w:r>
              <w:rPr>
                <w:noProof/>
                <w:webHidden/>
              </w:rPr>
              <w:fldChar w:fldCharType="end"/>
            </w:r>
          </w:hyperlink>
        </w:p>
        <w:p w14:paraId="2F83609A" w14:textId="471FF271" w:rsidR="009F1109" w:rsidRDefault="009F1109">
          <w:pPr>
            <w:pStyle w:val="Sumrio1"/>
            <w:rPr>
              <w:rFonts w:eastAsiaTheme="minorEastAsia"/>
              <w:noProof/>
              <w:kern w:val="2"/>
              <w:sz w:val="24"/>
              <w:szCs w:val="24"/>
              <w:lang w:eastAsia="pt-BR"/>
              <w14:ligatures w14:val="standardContextual"/>
            </w:rPr>
          </w:pPr>
          <w:hyperlink w:anchor="_Toc182841737" w:history="1">
            <w:r w:rsidRPr="004E5B9C">
              <w:rPr>
                <w:rStyle w:val="Hyperlink"/>
                <w:noProof/>
              </w:rPr>
              <w:t>3.</w:t>
            </w:r>
            <w:r>
              <w:rPr>
                <w:rFonts w:eastAsiaTheme="minorEastAsia"/>
                <w:noProof/>
                <w:kern w:val="2"/>
                <w:sz w:val="24"/>
                <w:szCs w:val="24"/>
                <w:lang w:eastAsia="pt-BR"/>
                <w14:ligatures w14:val="standardContextual"/>
              </w:rPr>
              <w:tab/>
            </w:r>
            <w:r w:rsidRPr="004E5B9C">
              <w:rPr>
                <w:rStyle w:val="Hyperlink"/>
                <w:noProof/>
              </w:rPr>
              <w:t>Modelo aplicado aos créditos outorgados</w:t>
            </w:r>
            <w:r>
              <w:rPr>
                <w:noProof/>
                <w:webHidden/>
              </w:rPr>
              <w:tab/>
            </w:r>
            <w:r>
              <w:rPr>
                <w:noProof/>
                <w:webHidden/>
              </w:rPr>
              <w:fldChar w:fldCharType="begin"/>
            </w:r>
            <w:r>
              <w:rPr>
                <w:noProof/>
                <w:webHidden/>
              </w:rPr>
              <w:instrText xml:space="preserve"> PAGEREF _Toc182841737 \h </w:instrText>
            </w:r>
            <w:r>
              <w:rPr>
                <w:noProof/>
                <w:webHidden/>
              </w:rPr>
            </w:r>
            <w:r>
              <w:rPr>
                <w:noProof/>
                <w:webHidden/>
              </w:rPr>
              <w:fldChar w:fldCharType="separate"/>
            </w:r>
            <w:r>
              <w:rPr>
                <w:noProof/>
                <w:webHidden/>
              </w:rPr>
              <w:t>6</w:t>
            </w:r>
            <w:r>
              <w:rPr>
                <w:noProof/>
                <w:webHidden/>
              </w:rPr>
              <w:fldChar w:fldCharType="end"/>
            </w:r>
          </w:hyperlink>
        </w:p>
        <w:p w14:paraId="5F197D55" w14:textId="4FC50430" w:rsidR="00975F5D" w:rsidRDefault="00975F5D" w:rsidP="00173640">
          <w:pPr>
            <w:spacing w:after="0"/>
          </w:pPr>
          <w:r>
            <w:rPr>
              <w:b/>
              <w:bCs/>
            </w:rPr>
            <w:fldChar w:fldCharType="end"/>
          </w:r>
        </w:p>
      </w:sdtContent>
    </w:sdt>
    <w:p w14:paraId="6FEA18E4" w14:textId="77777777" w:rsidR="00FA6D71" w:rsidRDefault="00FA6D71" w:rsidP="00173640">
      <w:pPr>
        <w:spacing w:after="0"/>
      </w:pPr>
    </w:p>
    <w:p w14:paraId="02C9DC11" w14:textId="4D5F9110" w:rsidR="00975F5D" w:rsidRPr="00411FDC" w:rsidRDefault="004C4C8D" w:rsidP="00975F5D">
      <w:pPr>
        <w:pStyle w:val="Ttulo1"/>
        <w:numPr>
          <w:ilvl w:val="0"/>
          <w:numId w:val="6"/>
        </w:numPr>
        <w:spacing w:before="0"/>
        <w:ind w:left="357" w:hanging="357"/>
        <w:rPr>
          <w:sz w:val="24"/>
        </w:rPr>
      </w:pPr>
      <w:bookmarkStart w:id="0" w:name="_Toc182841735"/>
      <w:r>
        <w:rPr>
          <w:sz w:val="24"/>
        </w:rPr>
        <w:t xml:space="preserve">Conceitos </w:t>
      </w:r>
      <w:r w:rsidR="00CE157F">
        <w:rPr>
          <w:sz w:val="24"/>
        </w:rPr>
        <w:t>g</w:t>
      </w:r>
      <w:r>
        <w:rPr>
          <w:sz w:val="24"/>
        </w:rPr>
        <w:t>erais</w:t>
      </w:r>
      <w:r w:rsidR="00AF7583">
        <w:rPr>
          <w:sz w:val="24"/>
        </w:rPr>
        <w:t xml:space="preserve"> do gasto tributário de ICMS</w:t>
      </w:r>
      <w:bookmarkEnd w:id="0"/>
    </w:p>
    <w:p w14:paraId="44053D71" w14:textId="0EE3771D" w:rsidR="00AE57A1" w:rsidRDefault="00AE57A1" w:rsidP="000A3F5C">
      <w:pPr>
        <w:autoSpaceDE w:val="0"/>
        <w:autoSpaceDN w:val="0"/>
        <w:adjustRightInd w:val="0"/>
        <w:spacing w:before="120" w:after="120" w:line="240" w:lineRule="auto"/>
        <w:jc w:val="both"/>
      </w:pPr>
    </w:p>
    <w:p w14:paraId="1235DF29" w14:textId="1687D32A" w:rsidR="00D0077A" w:rsidRDefault="003E7AC2" w:rsidP="00D0077A">
      <w:pPr>
        <w:jc w:val="both"/>
      </w:pPr>
      <w:bookmarkStart w:id="1" w:name="_Hlk160448166"/>
      <w:r>
        <w:t xml:space="preserve">A presente nota metodológica tem por objetivo </w:t>
      </w:r>
      <w:r w:rsidR="009B5BE8">
        <w:t>documentar</w:t>
      </w:r>
      <w:r>
        <w:t xml:space="preserve"> os</w:t>
      </w:r>
      <w:r w:rsidR="0009119D" w:rsidRPr="0009119D">
        <w:t xml:space="preserve"> </w:t>
      </w:r>
      <w:r w:rsidR="00077BF1">
        <w:t xml:space="preserve">conceitos e </w:t>
      </w:r>
      <w:r w:rsidR="0009119D" w:rsidRPr="0009119D">
        <w:t>procedimentos adotados pela Secretaria da Fazenda e Planejamento do Estado de São Paulo</w:t>
      </w:r>
      <w:r w:rsidR="00D2377C">
        <w:t xml:space="preserve"> </w:t>
      </w:r>
      <w:r w:rsidR="00184793" w:rsidRPr="00184793">
        <w:t xml:space="preserve">para </w:t>
      </w:r>
      <w:r w:rsidR="00D0077A">
        <w:t>a quantificação da renúncia de receita identificada no</w:t>
      </w:r>
      <w:r w:rsidR="00E27D26">
        <w:t xml:space="preserve"> relatório</w:t>
      </w:r>
      <w:r w:rsidR="00D0077A">
        <w:t xml:space="preserve"> de gastos tributários d</w:t>
      </w:r>
      <w:r w:rsidR="00F64E2C">
        <w:t xml:space="preserve">e </w:t>
      </w:r>
      <w:r w:rsidR="00D0077A">
        <w:t xml:space="preserve">ICMS </w:t>
      </w:r>
      <w:r w:rsidR="00077BF1">
        <w:t>informado</w:t>
      </w:r>
      <w:r w:rsidR="00D0077A">
        <w:t xml:space="preserve"> </w:t>
      </w:r>
      <w:r w:rsidR="00060954">
        <w:t>n</w:t>
      </w:r>
      <w:r w:rsidR="00D0077A">
        <w:t>o Anexo de Metas Fiscais da Lei de Diretrizes Orçamentárias</w:t>
      </w:r>
      <w:r w:rsidR="00AE4771">
        <w:rPr>
          <w:rStyle w:val="Refdenotaderodap"/>
        </w:rPr>
        <w:footnoteReference w:id="1"/>
      </w:r>
      <w:r w:rsidR="00D0077A">
        <w:t>.</w:t>
      </w:r>
    </w:p>
    <w:p w14:paraId="4E9788C5" w14:textId="3B7B039A" w:rsidR="00060954" w:rsidRDefault="00060954" w:rsidP="00D0077A">
      <w:pPr>
        <w:jc w:val="both"/>
      </w:pPr>
      <w:r w:rsidRPr="00060954">
        <w:t xml:space="preserve">As definições </w:t>
      </w:r>
      <w:r>
        <w:t>usualmente adotadas para o chamado “gasto tributário”</w:t>
      </w:r>
      <w:r w:rsidRPr="00060954">
        <w:t xml:space="preserve"> </w:t>
      </w:r>
      <w:r>
        <w:t>(</w:t>
      </w:r>
      <w:r w:rsidR="0014346E">
        <w:t>correspondente à</w:t>
      </w:r>
      <w:r w:rsidR="00342FA6">
        <w:t xml:space="preserve"> </w:t>
      </w:r>
      <w:r>
        <w:t xml:space="preserve">renúncia de receita associada a um benefício de natureza tributária) </w:t>
      </w:r>
      <w:r w:rsidRPr="00060954">
        <w:t xml:space="preserve">convergem para o princípio de que </w:t>
      </w:r>
      <w:r>
        <w:t>este</w:t>
      </w:r>
      <w:r w:rsidRPr="00060954">
        <w:t xml:space="preserve"> decorre de desvios em relação </w:t>
      </w:r>
      <w:r>
        <w:t>ao conjunto de</w:t>
      </w:r>
      <w:r w:rsidRPr="00060954">
        <w:t xml:space="preserve"> norma</w:t>
      </w:r>
      <w:r>
        <w:t>s</w:t>
      </w:r>
      <w:r w:rsidRPr="00060954">
        <w:t xml:space="preserve"> padrão do imposto</w:t>
      </w:r>
      <w:r>
        <w:t xml:space="preserve"> (denominado “s</w:t>
      </w:r>
      <w:r w:rsidRPr="00060954">
        <w:t xml:space="preserve">istema de </w:t>
      </w:r>
      <w:r>
        <w:t>r</w:t>
      </w:r>
      <w:r w:rsidRPr="00060954">
        <w:t>eferência</w:t>
      </w:r>
      <w:r>
        <w:t xml:space="preserve">”), que constituem situações de exceção e </w:t>
      </w:r>
      <w:r w:rsidRPr="00060954">
        <w:t xml:space="preserve">implicam em reduções do valor </w:t>
      </w:r>
      <w:r>
        <w:t>recolhido</w:t>
      </w:r>
      <w:r w:rsidRPr="00060954">
        <w:t xml:space="preserve"> pelos contribuintes.</w:t>
      </w:r>
    </w:p>
    <w:p w14:paraId="2CCFB41D" w14:textId="0F47B174" w:rsidR="00060954" w:rsidRDefault="00060954" w:rsidP="00D0077A">
      <w:pPr>
        <w:jc w:val="both"/>
      </w:pPr>
      <w:r w:rsidRPr="00060954">
        <w:t xml:space="preserve">Assume-se que somente medidas </w:t>
      </w:r>
      <w:r>
        <w:t xml:space="preserve">de política tributária </w:t>
      </w:r>
      <w:r w:rsidRPr="00060954">
        <w:t xml:space="preserve">adotadas pelo Estado, no </w:t>
      </w:r>
      <w:r>
        <w:t xml:space="preserve">exercício </w:t>
      </w:r>
      <w:r w:rsidRPr="00060954">
        <w:t xml:space="preserve">de sua </w:t>
      </w:r>
      <w:r>
        <w:t xml:space="preserve">própria </w:t>
      </w:r>
      <w:r w:rsidRPr="00060954">
        <w:t>competência tributária, podem ser classificadas como gasto tributário.</w:t>
      </w:r>
      <w:r>
        <w:t xml:space="preserve"> </w:t>
      </w:r>
      <w:r w:rsidRPr="00060954">
        <w:t>Nes</w:t>
      </w:r>
      <w:r w:rsidR="00E27D26">
        <w:t>s</w:t>
      </w:r>
      <w:r w:rsidRPr="00060954">
        <w:t xml:space="preserve">e sentido, entende-se que constitui o </w:t>
      </w:r>
      <w:r w:rsidR="00564F47">
        <w:t>s</w:t>
      </w:r>
      <w:r w:rsidRPr="00060954">
        <w:t xml:space="preserve">istema de </w:t>
      </w:r>
      <w:r w:rsidR="00564F47">
        <w:t>r</w:t>
      </w:r>
      <w:r w:rsidRPr="00060954">
        <w:t xml:space="preserve">eferência do ICMS o conjunto </w:t>
      </w:r>
      <w:r w:rsidR="00564F47">
        <w:t>normativo</w:t>
      </w:r>
      <w:r w:rsidRPr="00060954">
        <w:t xml:space="preserve"> editad</w:t>
      </w:r>
      <w:r w:rsidR="00564F47">
        <w:t>o</w:t>
      </w:r>
      <w:r w:rsidRPr="00060954">
        <w:t xml:space="preserve"> em âmbito federal, composto pela Constituição Federal de 1988, </w:t>
      </w:r>
      <w:r w:rsidR="00564F47">
        <w:t xml:space="preserve">assim como por </w:t>
      </w:r>
      <w:r w:rsidRPr="00060954">
        <w:t>Leis Complementares (tais como a L</w:t>
      </w:r>
      <w:r>
        <w:t xml:space="preserve">ei </w:t>
      </w:r>
      <w:r w:rsidRPr="00060954">
        <w:t>C</w:t>
      </w:r>
      <w:r>
        <w:t>omplementar</w:t>
      </w:r>
      <w:r w:rsidRPr="00060954">
        <w:t xml:space="preserve"> 87/1996, conhecida como </w:t>
      </w:r>
      <w:r w:rsidR="009B5BE8">
        <w:t>“</w:t>
      </w:r>
      <w:r w:rsidRPr="00060954">
        <w:t>Lei Kandir</w:t>
      </w:r>
      <w:r w:rsidR="009B5BE8">
        <w:t>”</w:t>
      </w:r>
      <w:r w:rsidRPr="00060954">
        <w:t>, e a L</w:t>
      </w:r>
      <w:r w:rsidR="00564F47">
        <w:t xml:space="preserve">ei </w:t>
      </w:r>
      <w:r w:rsidRPr="00060954">
        <w:t>C</w:t>
      </w:r>
      <w:r w:rsidR="00564F47">
        <w:t>omplementar</w:t>
      </w:r>
      <w:r w:rsidRPr="00060954">
        <w:t xml:space="preserve"> 123/2006, que instituiu o Simples Nacional) e </w:t>
      </w:r>
      <w:r w:rsidR="00564F47">
        <w:t xml:space="preserve">por </w:t>
      </w:r>
      <w:r w:rsidRPr="00060954">
        <w:t>Resoluções do Senado Federal (no que diz respeito, em particular, a definições sobre alíquotas aplicáveis a operações interestaduais).</w:t>
      </w:r>
    </w:p>
    <w:p w14:paraId="5DE252C7" w14:textId="3ACDF0A9" w:rsidR="00564F47" w:rsidRDefault="00E27D26" w:rsidP="00D0077A">
      <w:pPr>
        <w:jc w:val="both"/>
      </w:pPr>
      <w:r>
        <w:lastRenderedPageBreak/>
        <w:t>Embora seja</w:t>
      </w:r>
      <w:r w:rsidR="00564F47" w:rsidRPr="00564F47">
        <w:t xml:space="preserve"> atribuição de cada Estado</w:t>
      </w:r>
      <w:r w:rsidRPr="00E27D26">
        <w:t xml:space="preserve"> </w:t>
      </w:r>
      <w:r w:rsidRPr="00564F47">
        <w:t xml:space="preserve">a definição das alíquotas </w:t>
      </w:r>
      <w:r>
        <w:t xml:space="preserve">internamente </w:t>
      </w:r>
      <w:r w:rsidRPr="00564F47">
        <w:t>praticadas</w:t>
      </w:r>
      <w:r w:rsidR="00564F47" w:rsidRPr="00564F47">
        <w:t xml:space="preserve">, entende-se que a Constituição Federal, ao prever a seletividade do </w:t>
      </w:r>
      <w:r w:rsidR="00564F47">
        <w:t>ICMS</w:t>
      </w:r>
      <w:r w:rsidR="00564F47" w:rsidRPr="00564F47">
        <w:t xml:space="preserve">, respalda a existência de múltiplas alíquotas, situação que, portanto, integra o </w:t>
      </w:r>
      <w:r w:rsidR="0014346E">
        <w:t>s</w:t>
      </w:r>
      <w:r w:rsidR="00564F47" w:rsidRPr="00564F47">
        <w:t xml:space="preserve">istema de </w:t>
      </w:r>
      <w:r w:rsidR="0014346E">
        <w:t>r</w:t>
      </w:r>
      <w:r w:rsidR="00564F47" w:rsidRPr="00564F47">
        <w:t xml:space="preserve">eferência do imposto. Por outro lado, cabe destacar que </w:t>
      </w:r>
      <w:r w:rsidR="008B5273">
        <w:t xml:space="preserve">o </w:t>
      </w:r>
      <w:r w:rsidR="008B5273">
        <w:t>artigo</w:t>
      </w:r>
      <w:r w:rsidR="008B5273" w:rsidRPr="00564F47">
        <w:t xml:space="preserve"> 155, §2º, VI</w:t>
      </w:r>
      <w:r w:rsidR="008B5273">
        <w:t xml:space="preserve"> da</w:t>
      </w:r>
      <w:r w:rsidR="00564F47" w:rsidRPr="00564F47">
        <w:t xml:space="preserve"> </w:t>
      </w:r>
      <w:r w:rsidR="00564F47">
        <w:t>Constituição Federal</w:t>
      </w:r>
      <w:r w:rsidR="00564F47" w:rsidRPr="00564F47">
        <w:t xml:space="preserve"> determina que</w:t>
      </w:r>
      <w:r w:rsidR="008B5273">
        <w:t xml:space="preserve"> </w:t>
      </w:r>
      <w:r w:rsidR="00564F47" w:rsidRPr="00564F47">
        <w:t xml:space="preserve">a alíquota interna não pode ser inferior à interestadual, </w:t>
      </w:r>
      <w:r w:rsidR="00342FA6">
        <w:t>fixada em</w:t>
      </w:r>
      <w:r w:rsidR="00564F47" w:rsidRPr="00564F47">
        <w:t xml:space="preserve"> 12%</w:t>
      </w:r>
      <w:r w:rsidR="008B5273">
        <w:t xml:space="preserve"> pela Resolução do Senado Federal Nº 22/1989</w:t>
      </w:r>
      <w:r w:rsidR="008B5273" w:rsidRPr="00564F47">
        <w:t xml:space="preserve">, salvo deliberação em contrário </w:t>
      </w:r>
      <w:r w:rsidR="008B5273">
        <w:t>autorizada pelo conjunto dos</w:t>
      </w:r>
      <w:r w:rsidR="008B5273" w:rsidRPr="00564F47">
        <w:t xml:space="preserve"> Estados</w:t>
      </w:r>
      <w:r w:rsidR="00564F47">
        <w:t>.</w:t>
      </w:r>
    </w:p>
    <w:p w14:paraId="128B8757" w14:textId="590CCCC0" w:rsidR="00564F47" w:rsidRDefault="00564F47" w:rsidP="00D0077A">
      <w:pPr>
        <w:jc w:val="both"/>
      </w:pPr>
      <w:r w:rsidRPr="00564F47">
        <w:t>Adota-se, ainda, o enfoque de longo prazo, entendimento que coincide com o critério adotado pela Receita Federal do Brasil</w:t>
      </w:r>
      <w:r>
        <w:t xml:space="preserve"> para a apuração de gastos tributários da União</w:t>
      </w:r>
      <w:r w:rsidRPr="00564F47">
        <w:t>. Medidas que representem apenas um deslocamento temporal do pagamento dos tributos, ou entre elos da cadeia produtiva ou de comercialização, não são considerad</w:t>
      </w:r>
      <w:r>
        <w:t>a</w:t>
      </w:r>
      <w:r w:rsidRPr="00564F47">
        <w:t xml:space="preserve">s </w:t>
      </w:r>
      <w:r>
        <w:t>g</w:t>
      </w:r>
      <w:r w:rsidRPr="00564F47">
        <w:t xml:space="preserve">astos </w:t>
      </w:r>
      <w:r>
        <w:t>t</w:t>
      </w:r>
      <w:r w:rsidRPr="00564F47">
        <w:t xml:space="preserve">ributários, por não </w:t>
      </w:r>
      <w:r>
        <w:t>acarretarem</w:t>
      </w:r>
      <w:r w:rsidRPr="00564F47">
        <w:t xml:space="preserve"> perda definitiva de receita</w:t>
      </w:r>
      <w:r w:rsidR="008B5273">
        <w:rPr>
          <w:rStyle w:val="Refdenotaderodap"/>
        </w:rPr>
        <w:footnoteReference w:id="2"/>
      </w:r>
      <w:r>
        <w:t>.</w:t>
      </w:r>
      <w:r w:rsidR="002219D1">
        <w:t xml:space="preserve"> </w:t>
      </w:r>
    </w:p>
    <w:p w14:paraId="01D3C402" w14:textId="51A98C98" w:rsidR="00564F47" w:rsidRDefault="00564F47" w:rsidP="00D0077A">
      <w:pPr>
        <w:jc w:val="both"/>
      </w:pPr>
      <w:r>
        <w:t>O levantamento de</w:t>
      </w:r>
      <w:r w:rsidRPr="00564F47">
        <w:t xml:space="preserve"> </w:t>
      </w:r>
      <w:r>
        <w:t>g</w:t>
      </w:r>
      <w:r w:rsidRPr="00564F47">
        <w:t>asto</w:t>
      </w:r>
      <w:r>
        <w:t>s</w:t>
      </w:r>
      <w:r w:rsidRPr="00564F47">
        <w:t xml:space="preserve"> </w:t>
      </w:r>
      <w:r>
        <w:t>t</w:t>
      </w:r>
      <w:r w:rsidRPr="00564F47">
        <w:t>ributário</w:t>
      </w:r>
      <w:r>
        <w:t>s de ICMS</w:t>
      </w:r>
      <w:r w:rsidR="007A4158">
        <w:t>, atualizado em periodicidade anual,</w:t>
      </w:r>
      <w:r>
        <w:t xml:space="preserve"> compreende, assim,</w:t>
      </w:r>
      <w:r w:rsidRPr="00564F47">
        <w:t xml:space="preserve"> as seguintes modalidades de </w:t>
      </w:r>
      <w:r w:rsidR="007A4158">
        <w:t>desoneração</w:t>
      </w:r>
      <w:r w:rsidRPr="00564F47">
        <w:t>: isenç</w:t>
      </w:r>
      <w:r w:rsidR="005B7CB7">
        <w:t>ão</w:t>
      </w:r>
      <w:r w:rsidRPr="00564F47">
        <w:t>, reduç</w:t>
      </w:r>
      <w:r w:rsidR="005B7CB7">
        <w:t>ão</w:t>
      </w:r>
      <w:r w:rsidRPr="00564F47">
        <w:t xml:space="preserve"> de base de cálculo, crédito outorgado, não exigência do imposto, alíquota</w:t>
      </w:r>
      <w:r w:rsidR="007A4158">
        <w:t xml:space="preserve"> estabelecida em patamar inferior</w:t>
      </w:r>
      <w:r w:rsidRPr="00564F47">
        <w:t xml:space="preserve"> </w:t>
      </w:r>
      <w:r w:rsidR="007A4158">
        <w:t>ao interestadual de 12% e</w:t>
      </w:r>
      <w:r w:rsidRPr="00564F47">
        <w:t xml:space="preserve"> regime </w:t>
      </w:r>
      <w:r w:rsidR="00B85537">
        <w:t xml:space="preserve">específico </w:t>
      </w:r>
      <w:r w:rsidRPr="00564F47">
        <w:t>de tributação que reduz a carga tributária</w:t>
      </w:r>
      <w:r w:rsidR="007A4158">
        <w:t>.</w:t>
      </w:r>
      <w:r w:rsidR="00406E8A">
        <w:t xml:space="preserve"> </w:t>
      </w:r>
      <w:r w:rsidR="00406E8A" w:rsidRPr="00484F62">
        <w:t>O critério para apuração</w:t>
      </w:r>
      <w:r w:rsidR="00406E8A">
        <w:t xml:space="preserve"> dos valores é o de competência, fazendo-se referência </w:t>
      </w:r>
      <w:r w:rsidR="00B25E70">
        <w:t>às operações registradas no</w:t>
      </w:r>
      <w:r w:rsidR="00406E8A">
        <w:t xml:space="preserve"> ano-base indicado para a respectiva modalidade</w:t>
      </w:r>
      <w:r w:rsidR="00B25E70">
        <w:t>.</w:t>
      </w:r>
      <w:r w:rsidR="00406E8A">
        <w:t xml:space="preserve"> </w:t>
      </w:r>
    </w:p>
    <w:p w14:paraId="1FB1D2B4" w14:textId="33446CD9" w:rsidR="0021738A" w:rsidRDefault="0021738A" w:rsidP="00D0077A">
      <w:pPr>
        <w:jc w:val="both"/>
      </w:pPr>
      <w:r>
        <w:t xml:space="preserve">A grande maioria dos benefícios fiscais estabelecidos em São Paulo está relacionada nos Anexos I, II e III do </w:t>
      </w:r>
      <w:r w:rsidRPr="0021738A">
        <w:t>Regulamento do ICMS</w:t>
      </w:r>
      <w:r>
        <w:t xml:space="preserve"> (RICMS, consolidado no </w:t>
      </w:r>
      <w:r w:rsidRPr="0021738A">
        <w:t>Decreto 45.490</w:t>
      </w:r>
      <w:r>
        <w:t>/</w:t>
      </w:r>
      <w:r w:rsidRPr="0021738A">
        <w:t>2000</w:t>
      </w:r>
      <w:r>
        <w:t>), que explicitam, respectivamente as hipóteses de isenção, redução de base de cálculo e concessão de crédito outorgado do imposto. Também são incluídos no levantamento de gastos tributários os créditos outorgados previstos em decretos autônomos, assim como outros tipos de desoneração</w:t>
      </w:r>
      <w:r w:rsidR="00B85537">
        <w:t>, que compreendem</w:t>
      </w:r>
      <w:r>
        <w:t xml:space="preserve"> </w:t>
      </w:r>
      <w:r w:rsidR="00B85537">
        <w:t xml:space="preserve">alguns </w:t>
      </w:r>
      <w:r>
        <w:t xml:space="preserve">regimes de tributação específicos </w:t>
      </w:r>
      <w:r w:rsidR="00B85537">
        <w:t>e a</w:t>
      </w:r>
      <w:r w:rsidR="00B85537" w:rsidRPr="00B85537">
        <w:t xml:space="preserve"> </w:t>
      </w:r>
      <w:r w:rsidR="00B85537">
        <w:t xml:space="preserve">fixação da </w:t>
      </w:r>
      <w:r w:rsidR="00B85537" w:rsidRPr="00B85537">
        <w:t>alíquota de 7% para determinados produtos, prevista no artigo 53-A do RICMS.</w:t>
      </w:r>
    </w:p>
    <w:p w14:paraId="0A0A9D79" w14:textId="0BCB5AC8" w:rsidR="00F97E84" w:rsidRDefault="00F97E84" w:rsidP="00D0077A">
      <w:pPr>
        <w:jc w:val="both"/>
      </w:pPr>
      <w:r w:rsidRPr="00F97E84">
        <w:t xml:space="preserve">Em todos os casos, </w:t>
      </w:r>
      <w:r>
        <w:t>a quantificação da renúncia envolvida se dá a partir de informações disponíveis nas bases de dados da Secretaria da Fazenda e Planejamento, apresentando-se, sempre que possível, os resultados associados aos dispositivos específicos que instituíram cada desoneração (</w:t>
      </w:r>
      <w:r w:rsidRPr="00F97E84">
        <w:t>normas identificad</w:t>
      </w:r>
      <w:r>
        <w:t>as</w:t>
      </w:r>
      <w:r w:rsidRPr="00F97E84">
        <w:t xml:space="preserve"> em Decretos editados pelo Governo do Estado</w:t>
      </w:r>
      <w:r>
        <w:t xml:space="preserve"> de São Paulo) e aos setores beneficiados (</w:t>
      </w:r>
      <w:r w:rsidR="00C1708D">
        <w:t xml:space="preserve">segundo </w:t>
      </w:r>
      <w:r>
        <w:t>a Classificação Nacional de Atividades Econômicas</w:t>
      </w:r>
      <w:r w:rsidR="00C1708D">
        <w:t xml:space="preserve"> padronizada pelo Instituto Brasileiro de Geografia e Estatística, com detalhamento no nível de divisão)</w:t>
      </w:r>
      <w:r w:rsidRPr="00F97E84">
        <w:t>.</w:t>
      </w:r>
    </w:p>
    <w:p w14:paraId="5F8351F7" w14:textId="44E37DA1" w:rsidR="004C4C8D" w:rsidRDefault="007F7BD3" w:rsidP="00D0077A">
      <w:pPr>
        <w:jc w:val="both"/>
      </w:pPr>
      <w:r>
        <w:t xml:space="preserve">A metodologia utilizada pela Secretaria da Fazenda e Planejamento do Estado de São Paulo para mensurar o efeito das desonerações segue o modelo de apuração mais comum entre as Administrações Tributárias, conhecido como “método da receita perdida” ou “medição </w:t>
      </w:r>
      <w:proofErr w:type="spellStart"/>
      <w:r w:rsidRPr="007F7BD3">
        <w:rPr>
          <w:i/>
          <w:iCs/>
        </w:rPr>
        <w:t>ex</w:t>
      </w:r>
      <w:proofErr w:type="spellEnd"/>
      <w:r w:rsidRPr="007F7BD3">
        <w:rPr>
          <w:i/>
          <w:iCs/>
        </w:rPr>
        <w:t xml:space="preserve"> post</w:t>
      </w:r>
      <w:r>
        <w:t>”, no qual a perda de receita decorrente de um gasto tributário é quantificada a partir das informações observadas em um dado ano-base, supondo-se que o comportamento dos contribuintes não seja alterado pela introdução ou supressão do benefício.</w:t>
      </w:r>
    </w:p>
    <w:p w14:paraId="79A1C2C7" w14:textId="3297A481" w:rsidR="00E34197" w:rsidRDefault="00E34197" w:rsidP="00D0077A">
      <w:pPr>
        <w:jc w:val="both"/>
      </w:pPr>
      <w:r>
        <w:lastRenderedPageBreak/>
        <w:t xml:space="preserve">Ainda que a renúncia de receita indicada no levantamento de gastos tributários seja apurada em bases efetivas, a partir de dados efetivamente observados, que corresponderiam à renúncia fruída pelos contribuintes, cabe ressaltar que a mensuração tem natureza de estimativa, uma vez que, diferentemente da arrecadação, os valores dos tributos que deixam de ser arrecadados em decorrência dos gastos tributários não podem ser observados diretamente. </w:t>
      </w:r>
    </w:p>
    <w:p w14:paraId="15069E9E" w14:textId="27818F97" w:rsidR="00D62FB5" w:rsidRDefault="00857C00" w:rsidP="00D0077A">
      <w:pPr>
        <w:jc w:val="both"/>
      </w:pPr>
      <w:r>
        <w:t>D</w:t>
      </w:r>
      <w:r w:rsidRPr="00D62FB5">
        <w:t xml:space="preserve">adas as características do </w:t>
      </w:r>
      <w:r>
        <w:t>ICMS e tendo em vista a</w:t>
      </w:r>
      <w:r w:rsidRPr="00857C00">
        <w:t xml:space="preserve"> obtenção de resultados com maior acurácia</w:t>
      </w:r>
      <w:r>
        <w:t>, individualizados</w:t>
      </w:r>
      <w:r w:rsidRPr="00857C00">
        <w:t xml:space="preserve"> por ato normativo, a quantificação de renúncias de receitas envolve um processo relativamente complexo de extração</w:t>
      </w:r>
      <w:r>
        <w:t xml:space="preserve"> e</w:t>
      </w:r>
      <w:r w:rsidRPr="00857C00">
        <w:t xml:space="preserve"> tratamento de dados</w:t>
      </w:r>
      <w:r>
        <w:t xml:space="preserve">, </w:t>
      </w:r>
      <w:r w:rsidR="00FC6B8C">
        <w:t>realizado a partir</w:t>
      </w:r>
      <w:r>
        <w:t xml:space="preserve"> </w:t>
      </w:r>
      <w:r w:rsidR="00FC6B8C">
        <w:t>d</w:t>
      </w:r>
      <w:r>
        <w:t>a</w:t>
      </w:r>
      <w:r w:rsidRPr="00857C00">
        <w:t xml:space="preserve"> análise</w:t>
      </w:r>
      <w:r>
        <w:t xml:space="preserve"> </w:t>
      </w:r>
      <w:r w:rsidR="00D62FB5" w:rsidRPr="00D62FB5">
        <w:t xml:space="preserve">individual de cada </w:t>
      </w:r>
      <w:r>
        <w:t>dispositivo</w:t>
      </w:r>
      <w:r w:rsidR="00FC6B8C">
        <w:t xml:space="preserve"> para modelagem da cadeia de circulação da mercadoria beneficiada</w:t>
      </w:r>
      <w:r>
        <w:t>.</w:t>
      </w:r>
      <w:r w:rsidR="00D62FB5">
        <w:t xml:space="preserve"> </w:t>
      </w:r>
      <w:r>
        <w:t>A</w:t>
      </w:r>
      <w:r w:rsidR="00D62FB5">
        <w:t xml:space="preserve">s fontes de dados utilizadas dependem do benefício tributário. </w:t>
      </w:r>
      <w:r w:rsidR="00D62FB5" w:rsidRPr="00D62FB5">
        <w:t>De modo geral, os benefícios que reduzem o</w:t>
      </w:r>
      <w:r w:rsidR="00D62FB5">
        <w:t>s</w:t>
      </w:r>
      <w:r w:rsidR="00D62FB5" w:rsidRPr="00D62FB5">
        <w:t xml:space="preserve"> débito</w:t>
      </w:r>
      <w:r w:rsidR="00D62FB5">
        <w:t xml:space="preserve">s </w:t>
      </w:r>
      <w:r w:rsidR="00962789">
        <w:t xml:space="preserve">destacados </w:t>
      </w:r>
      <w:r w:rsidR="00D62FB5">
        <w:t>do imposto</w:t>
      </w:r>
      <w:r w:rsidR="00D62FB5" w:rsidRPr="00D62FB5">
        <w:t xml:space="preserve"> </w:t>
      </w:r>
      <w:r w:rsidR="00D62FB5">
        <w:t xml:space="preserve">(isenção, redução de base de cálculo e alíquota ou carga reduzida) </w:t>
      </w:r>
      <w:r w:rsidR="00D62FB5" w:rsidRPr="00D62FB5">
        <w:t xml:space="preserve">normalmente são identificados por meio dos documentos fiscais emitidos, ao passo que aqueles que aumentam o crédito </w:t>
      </w:r>
      <w:r w:rsidR="00D62FB5">
        <w:t>a ser deduzido na apuração pelos contribuintes (</w:t>
      </w:r>
      <w:r w:rsidR="000425E7">
        <w:t xml:space="preserve">na modalidade de </w:t>
      </w:r>
      <w:r w:rsidR="00D62FB5">
        <w:t xml:space="preserve">crédito outorgado) </w:t>
      </w:r>
      <w:r w:rsidR="00D62FB5" w:rsidRPr="00D62FB5">
        <w:t>são verificados nos registros da escrituração fiscal</w:t>
      </w:r>
      <w:r w:rsidR="00D62FB5">
        <w:t>.</w:t>
      </w:r>
    </w:p>
    <w:p w14:paraId="739459C0" w14:textId="12CDFA2D" w:rsidR="00CE157F" w:rsidRDefault="004E12E2" w:rsidP="00D0077A">
      <w:pPr>
        <w:jc w:val="both"/>
      </w:pPr>
      <w:r>
        <w:t xml:space="preserve">Quando utilizados como fontes de dados os documentos fiscais, as hipóteses de desoneração especificadas nas normas são identificadas por meio de atributos como o </w:t>
      </w:r>
      <w:r w:rsidR="00FC7010">
        <w:t xml:space="preserve">código fiscal de operações e prestações (CFOP), </w:t>
      </w:r>
      <w:r w:rsidRPr="004E12E2">
        <w:t>código da situação tributária (CST)</w:t>
      </w:r>
      <w:r w:rsidR="00595206">
        <w:t xml:space="preserve"> e</w:t>
      </w:r>
      <w:r>
        <w:t xml:space="preserve"> o produto envolvido</w:t>
      </w:r>
      <w:r w:rsidR="00595206">
        <w:t xml:space="preserve">, </w:t>
      </w:r>
      <w:r>
        <w:t xml:space="preserve">de acordo com o código da Nomenclatura Comum do Mercosul </w:t>
      </w:r>
      <w:r w:rsidR="00595206">
        <w:t>(</w:t>
      </w:r>
      <w:r>
        <w:t>NCM</w:t>
      </w:r>
      <w:r w:rsidR="00595206">
        <w:t>)</w:t>
      </w:r>
      <w:r>
        <w:t xml:space="preserve"> ou </w:t>
      </w:r>
      <w:r w:rsidR="00595206" w:rsidRPr="00595206">
        <w:t>Número Global do Item Comercial</w:t>
      </w:r>
      <w:r w:rsidR="00595206">
        <w:t xml:space="preserve"> (</w:t>
      </w:r>
      <w:r>
        <w:t>GTIN</w:t>
      </w:r>
      <w:r w:rsidR="00595206">
        <w:t xml:space="preserve">), bem como a identidade específica (CNPJ) ou </w:t>
      </w:r>
      <w:r w:rsidR="00E54A95">
        <w:t xml:space="preserve">principal </w:t>
      </w:r>
      <w:r w:rsidR="00595206">
        <w:t xml:space="preserve">atividade declarada (CNAE) do emitente e/ou do destinatário, se for o caso. </w:t>
      </w:r>
      <w:r>
        <w:t>O</w:t>
      </w:r>
      <w:r w:rsidRPr="004E12E2">
        <w:t>perações de devolução são subtraídas do cálculo.</w:t>
      </w:r>
    </w:p>
    <w:p w14:paraId="4BB08DAE" w14:textId="52A8F9EB" w:rsidR="004E12E2" w:rsidRDefault="004E12E2" w:rsidP="00D0077A">
      <w:pPr>
        <w:jc w:val="both"/>
      </w:pPr>
      <w:r w:rsidRPr="004E12E2">
        <w:t>Ao se estimar o valor atribuível por dispositivo normativo, há risco de dupla contagem em casos nos quais ocorra sobreposição de benefícios. Busc</w:t>
      </w:r>
      <w:r>
        <w:t>a</w:t>
      </w:r>
      <w:r w:rsidRPr="004E12E2">
        <w:t xml:space="preserve">-se mitigar este risco, agrupando </w:t>
      </w:r>
      <w:r w:rsidR="00595206">
        <w:t>dispositivos</w:t>
      </w:r>
      <w:r w:rsidRPr="004E12E2">
        <w:t xml:space="preserve"> por assunto para efeito de cálculo, depois </w:t>
      </w:r>
      <w:r w:rsidR="00595206">
        <w:t>segregando-os na medida do possível</w:t>
      </w:r>
      <w:r w:rsidRPr="004E12E2">
        <w:t xml:space="preserve">. Em alguns casos </w:t>
      </w:r>
      <w:r w:rsidR="004012AF">
        <w:t>indicados em notas explicativas</w:t>
      </w:r>
      <w:r w:rsidRPr="004E12E2">
        <w:t>, os valores apresentados para um</w:t>
      </w:r>
      <w:r w:rsidR="00595206">
        <w:t xml:space="preserve"> dado</w:t>
      </w:r>
      <w:r w:rsidRPr="004E12E2">
        <w:t xml:space="preserve"> </w:t>
      </w:r>
      <w:r w:rsidR="00595206">
        <w:t>dispositivo</w:t>
      </w:r>
      <w:r w:rsidRPr="004E12E2">
        <w:t xml:space="preserve"> podem </w:t>
      </w:r>
      <w:r w:rsidR="00595206">
        <w:t>englobar a renúncia de outros</w:t>
      </w:r>
      <w:r w:rsidR="004012AF">
        <w:t xml:space="preserve">, </w:t>
      </w:r>
      <w:r w:rsidR="004012AF" w:rsidRPr="004E12E2">
        <w:t xml:space="preserve">pela dificuldade de se realizar </w:t>
      </w:r>
      <w:r w:rsidR="004012AF">
        <w:t>uma</w:t>
      </w:r>
      <w:r w:rsidR="004012AF" w:rsidRPr="004E12E2">
        <w:t xml:space="preserve"> atribuição</w:t>
      </w:r>
      <w:r w:rsidR="004012AF">
        <w:t xml:space="preserve"> precisa.</w:t>
      </w:r>
    </w:p>
    <w:p w14:paraId="2336EA97" w14:textId="778C30AE" w:rsidR="00B25E70" w:rsidRDefault="00B25E70" w:rsidP="00B25E70">
      <w:pPr>
        <w:jc w:val="both"/>
      </w:pPr>
      <w:r w:rsidRPr="00D0077A">
        <w:t xml:space="preserve">Pela natureza das disposições legais ou das particularidades do setor contemplado por um dado tratamento tributário, </w:t>
      </w:r>
      <w:r>
        <w:t>a renúncia mensurada para um dado dispositivo ou setor</w:t>
      </w:r>
      <w:r w:rsidRPr="00D0077A">
        <w:t xml:space="preserve"> pode referir-se a número reduzido de contribuintes</w:t>
      </w:r>
      <w:r>
        <w:t xml:space="preserve">. Tal circunstância pode </w:t>
      </w:r>
      <w:r w:rsidRPr="00D0077A">
        <w:t>impe</w:t>
      </w:r>
      <w:r>
        <w:t>dir</w:t>
      </w:r>
      <w:r w:rsidRPr="00D0077A">
        <w:t xml:space="preserve"> a </w:t>
      </w:r>
      <w:r>
        <w:t>publicação</w:t>
      </w:r>
      <w:r w:rsidRPr="00D0077A">
        <w:t xml:space="preserve"> </w:t>
      </w:r>
      <w:r>
        <w:t xml:space="preserve">irrestrita </w:t>
      </w:r>
      <w:r w:rsidRPr="00D0077A">
        <w:t>dos valores calculados</w:t>
      </w:r>
      <w:r>
        <w:t xml:space="preserve">, em razão do </w:t>
      </w:r>
      <w:r w:rsidRPr="00D0077A">
        <w:t>sigilo fiscal</w:t>
      </w:r>
      <w:r>
        <w:t xml:space="preserve"> previsto no artigo 198 do Código Tributário Nacional (</w:t>
      </w:r>
      <w:r w:rsidRPr="00D0077A">
        <w:t xml:space="preserve">Lei </w:t>
      </w:r>
      <w:r>
        <w:t xml:space="preserve">Federal </w:t>
      </w:r>
      <w:r w:rsidRPr="00D0077A">
        <w:t>5.172</w:t>
      </w:r>
      <w:r>
        <w:t>/</w:t>
      </w:r>
      <w:r w:rsidRPr="00D0077A">
        <w:t>1966</w:t>
      </w:r>
      <w:r>
        <w:t xml:space="preserve">), o qual </w:t>
      </w:r>
      <w:r w:rsidRPr="007146E7">
        <w:t>dispõe que “é vedada a divulgação, por parte da Fazenda Pública ou de seus servidores, de informação obtida em razão do ofício sobre a situação econômica ou financeira do sujeito passivo ou de terceiros e sobre a natureza e o estado de seus negócios ou atividades”. As situações de exceção à vedação legal são somente as expressamente previstas nos §§ 1º e 3º do mesmo artigo, não competindo à Fazenda Pública e seus servidores interpretar</w:t>
      </w:r>
      <w:r w:rsidR="001A50CC">
        <w:t xml:space="preserve"> </w:t>
      </w:r>
      <w:r w:rsidR="008E0028">
        <w:t>livremente</w:t>
      </w:r>
      <w:r w:rsidRPr="007146E7">
        <w:t xml:space="preserve"> a norma de maneira a reduzir a amplitude da vedação</w:t>
      </w:r>
      <w:r>
        <w:t>.</w:t>
      </w:r>
    </w:p>
    <w:p w14:paraId="0CD2702F" w14:textId="22F525B7" w:rsidR="00B25E70" w:rsidRDefault="00B25E70" w:rsidP="00B25E70">
      <w:pPr>
        <w:jc w:val="both"/>
      </w:pPr>
      <w:r>
        <w:t>Nesse contexto, para evitar a identificação dos contribuintes envolvidos, algumas informações são agregadas</w:t>
      </w:r>
      <w:r w:rsidR="001A50CC">
        <w:t>,</w:t>
      </w:r>
      <w:r>
        <w:t xml:space="preserve"> em conformidade com o disposto no inciso IX do </w:t>
      </w:r>
      <w:r w:rsidRPr="007146E7">
        <w:t xml:space="preserve">§ 1º </w:t>
      </w:r>
      <w:r>
        <w:t xml:space="preserve">da </w:t>
      </w:r>
      <w:r w:rsidRPr="007146E7">
        <w:t>Resolução SF 20</w:t>
      </w:r>
      <w:r>
        <w:t>/</w:t>
      </w:r>
      <w:r w:rsidRPr="007146E7">
        <w:t xml:space="preserve">2012, </w:t>
      </w:r>
      <w:r>
        <w:t xml:space="preserve">que disciplina </w:t>
      </w:r>
      <w:r w:rsidRPr="007146E7">
        <w:t>o acesso a informações protegidas por sigilo fiscal constantes de sistemas informatizados da Secretaria da Fazenda</w:t>
      </w:r>
      <w:r w:rsidR="001A50CC">
        <w:t>. D</w:t>
      </w:r>
      <w:r>
        <w:t xml:space="preserve">e acordo com </w:t>
      </w:r>
      <w:r w:rsidR="001A50CC">
        <w:t xml:space="preserve">essa Resolução </w:t>
      </w:r>
      <w:r>
        <w:t xml:space="preserve">é permitida apenas a divulgação relativa </w:t>
      </w:r>
      <w:r w:rsidRPr="007146E7">
        <w:t>a operações ou prestações realizadas por, no mínimo, cinco sujeitos passivos.</w:t>
      </w:r>
    </w:p>
    <w:p w14:paraId="3F560BE1" w14:textId="2F3456E5" w:rsidR="00CE157F" w:rsidRDefault="00CE157F" w:rsidP="00CE157F">
      <w:pPr>
        <w:pStyle w:val="Ttulo1"/>
        <w:numPr>
          <w:ilvl w:val="0"/>
          <w:numId w:val="6"/>
        </w:numPr>
        <w:spacing w:before="0"/>
        <w:ind w:left="357" w:hanging="357"/>
        <w:rPr>
          <w:sz w:val="24"/>
        </w:rPr>
      </w:pPr>
      <w:bookmarkStart w:id="2" w:name="_Toc182841736"/>
      <w:r>
        <w:rPr>
          <w:sz w:val="24"/>
        </w:rPr>
        <w:lastRenderedPageBreak/>
        <w:t>Benefícios que reduzem o débito destacado do imposto</w:t>
      </w:r>
      <w:bookmarkEnd w:id="2"/>
    </w:p>
    <w:p w14:paraId="58537326" w14:textId="77777777" w:rsidR="00CE157F" w:rsidRPr="00CE157F" w:rsidRDefault="00CE157F" w:rsidP="00CE157F"/>
    <w:p w14:paraId="71E6ADB0" w14:textId="6A92AF9C" w:rsidR="00A60AAB" w:rsidRDefault="00A60AAB" w:rsidP="00962789">
      <w:pPr>
        <w:jc w:val="both"/>
      </w:pPr>
      <w:r>
        <w:t>Em decorrência do</w:t>
      </w:r>
      <w:r w:rsidRPr="00A60AAB">
        <w:t xml:space="preserve"> princípio da não cumulatividade</w:t>
      </w:r>
      <w:r>
        <w:t xml:space="preserve"> do imposto</w:t>
      </w:r>
      <w:r w:rsidRPr="00A60AAB">
        <w:t xml:space="preserve">, </w:t>
      </w:r>
      <w:r>
        <w:t xml:space="preserve">a quantificação da renúncia associada a benefícios em modalidades que reduzem o débito destacado do imposto </w:t>
      </w:r>
      <w:r w:rsidRPr="00A60AAB">
        <w:t>(isenção, redução de base de cálculo e alíquota ou carga reduzida)</w:t>
      </w:r>
      <w:r>
        <w:t xml:space="preserve"> requer a aplicação de </w:t>
      </w:r>
      <w:r w:rsidR="008D3B24">
        <w:t xml:space="preserve">modelos específicos que contemplem as particularidades das regras de tributação afetadas, de forma que a situação observada possa ser comparada </w:t>
      </w:r>
      <w:r w:rsidRPr="00A60AAB">
        <w:t xml:space="preserve">com o cenário hipotético em que não </w:t>
      </w:r>
      <w:r w:rsidR="00BA71BB">
        <w:t>haveria o</w:t>
      </w:r>
      <w:r w:rsidR="00BA71BB" w:rsidRPr="00A60AAB">
        <w:t xml:space="preserve"> </w:t>
      </w:r>
      <w:r w:rsidRPr="00A60AAB">
        <w:t xml:space="preserve">benefício fiscal. Isto quer dizer que </w:t>
      </w:r>
      <w:r w:rsidR="008D3B24">
        <w:t xml:space="preserve">a </w:t>
      </w:r>
      <w:r w:rsidR="008D3B24" w:rsidRPr="00A60AAB">
        <w:t xml:space="preserve">medição do gasto tributário </w:t>
      </w:r>
      <w:r w:rsidR="008D3B24">
        <w:t xml:space="preserve">de </w:t>
      </w:r>
      <w:r w:rsidRPr="00A60AAB">
        <w:t>cada benefício fiscal des</w:t>
      </w:r>
      <w:r w:rsidR="008D3B24">
        <w:t>s</w:t>
      </w:r>
      <w:r w:rsidRPr="00A60AAB">
        <w:t xml:space="preserve">e grupo </w:t>
      </w:r>
      <w:r w:rsidR="008D3B24">
        <w:t>é realizada de forma individualizada</w:t>
      </w:r>
      <w:r w:rsidRPr="00A60AAB">
        <w:t>.</w:t>
      </w:r>
    </w:p>
    <w:p w14:paraId="14E32D62" w14:textId="2B3A2D40" w:rsidR="00EA35AF" w:rsidRDefault="00962789" w:rsidP="00962789">
      <w:pPr>
        <w:jc w:val="both"/>
      </w:pPr>
      <w:r>
        <w:t>Tratando-se o ICMS de um imposto indireto, incidente sobre o consumo, seu valor é destacado no documento fiscal repassado ao adquirente. Como imposto não cumulativo</w:t>
      </w:r>
      <w:r w:rsidR="00EA35AF">
        <w:t>,</w:t>
      </w:r>
      <w:r>
        <w:t xml:space="preserve"> é possível a compensação pelo contribuinte do que for devido em cada operação ou prestação com o anteriormente cobrado por este ou outro Estado, relativamente à mercadoria entrada ou à prestação de serviço recebida.</w:t>
      </w:r>
      <w:r w:rsidR="00EA35AF">
        <w:t xml:space="preserve"> Considerando o princípio de</w:t>
      </w:r>
      <w:r>
        <w:t xml:space="preserve"> não cumulatividade, a aferição da renúncia </w:t>
      </w:r>
      <w:r w:rsidR="00EA35AF">
        <w:t xml:space="preserve">de receita requer que sejam isoladas </w:t>
      </w:r>
      <w:r>
        <w:t xml:space="preserve">as operações em que o imposto desonerado não </w:t>
      </w:r>
      <w:r w:rsidR="00EA35AF">
        <w:t>transfere</w:t>
      </w:r>
      <w:r>
        <w:t xml:space="preserve"> crédito para o elo seguinte da cadeia.</w:t>
      </w:r>
      <w:r w:rsidR="00EA35AF">
        <w:t xml:space="preserve"> U</w:t>
      </w:r>
      <w:r w:rsidR="00EA35AF" w:rsidRPr="00EA35AF">
        <w:t xml:space="preserve">ma desoneração que afete apenas elo intermediário da cadeia econômica, não enseja renúncia fiscal, pois o imposto desonerado apenas deixa de </w:t>
      </w:r>
      <w:r w:rsidR="00EA35AF">
        <w:t>gerar</w:t>
      </w:r>
      <w:r w:rsidR="00EA35AF" w:rsidRPr="00EA35AF">
        <w:t xml:space="preserve"> crédito para o elo seguinte, permanecendo inalterada a carga tributária </w:t>
      </w:r>
      <w:r w:rsidR="00EA35AF">
        <w:t>praticada</w:t>
      </w:r>
      <w:r w:rsidR="00EA35AF" w:rsidRPr="00EA35AF">
        <w:t xml:space="preserve"> na saída para consumidor final.</w:t>
      </w:r>
    </w:p>
    <w:p w14:paraId="505B96E3" w14:textId="2C02AA83" w:rsidR="00BB47F7" w:rsidRDefault="00BB47F7" w:rsidP="00962789">
      <w:pPr>
        <w:jc w:val="both"/>
      </w:pPr>
      <w:r w:rsidRPr="00BB47F7">
        <w:t xml:space="preserve">Logo, </w:t>
      </w:r>
      <w:r>
        <w:t xml:space="preserve">no caso de benefícios que reduzem o débito destacado do imposto </w:t>
      </w:r>
      <w:r w:rsidRPr="00BB47F7">
        <w:t>na saída dos contribuintes</w:t>
      </w:r>
      <w:r>
        <w:t xml:space="preserve"> (</w:t>
      </w:r>
      <w:r w:rsidRPr="00BB47F7">
        <w:t xml:space="preserve">isenção, redução de base de cálculo e redução de </w:t>
      </w:r>
      <w:r>
        <w:t xml:space="preserve">carga ou </w:t>
      </w:r>
      <w:r w:rsidRPr="00BB47F7">
        <w:t>alíquota</w:t>
      </w:r>
      <w:r>
        <w:t>)</w:t>
      </w:r>
      <w:r w:rsidRPr="00BB47F7">
        <w:t xml:space="preserve">, </w:t>
      </w:r>
      <w:r>
        <w:t>a renúncia de receita ocorre apenas em</w:t>
      </w:r>
      <w:r w:rsidRPr="00BB47F7">
        <w:t xml:space="preserve"> operações que não geram direito a crédito. </w:t>
      </w:r>
      <w:r>
        <w:t>Em regra</w:t>
      </w:r>
      <w:r w:rsidRPr="00BB47F7">
        <w:t xml:space="preserve">, </w:t>
      </w:r>
      <w:r>
        <w:t>essas situações abrangem a desoneração em:</w:t>
      </w:r>
    </w:p>
    <w:p w14:paraId="33DA15FD" w14:textId="3C37D6C2" w:rsidR="00BB47F7" w:rsidRDefault="00BB47F7" w:rsidP="00BB47F7">
      <w:pPr>
        <w:pStyle w:val="PargrafodaLista"/>
        <w:numPr>
          <w:ilvl w:val="0"/>
          <w:numId w:val="28"/>
        </w:numPr>
        <w:jc w:val="both"/>
      </w:pPr>
      <w:r w:rsidRPr="00BB47F7">
        <w:t xml:space="preserve">operações </w:t>
      </w:r>
      <w:r>
        <w:t xml:space="preserve">no último elo da cadeia, que tenham por destinatário </w:t>
      </w:r>
      <w:r w:rsidRPr="00BB47F7">
        <w:t>consumidor final</w:t>
      </w:r>
      <w:r>
        <w:t xml:space="preserve"> não contribuinte do imposto;</w:t>
      </w:r>
    </w:p>
    <w:bookmarkEnd w:id="1"/>
    <w:p w14:paraId="6BCDFE58" w14:textId="77777777" w:rsidR="00BB47F7" w:rsidRDefault="00DA4C46" w:rsidP="00BB47F7">
      <w:pPr>
        <w:pStyle w:val="PargrafodaLista"/>
        <w:numPr>
          <w:ilvl w:val="0"/>
          <w:numId w:val="28"/>
        </w:numPr>
        <w:jc w:val="both"/>
      </w:pPr>
      <w:r>
        <w:t>saídas de contribuintes do Regime Periódico de Apuração</w:t>
      </w:r>
      <w:r w:rsidR="00CF0243">
        <w:t xml:space="preserve"> </w:t>
      </w:r>
      <w:r w:rsidR="00BB47F7">
        <w:t>(</w:t>
      </w:r>
      <w:r w:rsidR="00CF0243">
        <w:t>RPA</w:t>
      </w:r>
      <w:r w:rsidR="00BB47F7">
        <w:t>)</w:t>
      </w:r>
      <w:r>
        <w:t xml:space="preserve"> para contribuintes do Simples Nacional</w:t>
      </w:r>
      <w:r w:rsidR="00431543">
        <w:t xml:space="preserve"> </w:t>
      </w:r>
      <w:r w:rsidR="00BB47F7">
        <w:t>(</w:t>
      </w:r>
      <w:r w:rsidR="00431543">
        <w:t>SN</w:t>
      </w:r>
      <w:r w:rsidR="00BB47F7">
        <w:t xml:space="preserve">), uma vez que </w:t>
      </w:r>
      <w:r>
        <w:t>o</w:t>
      </w:r>
      <w:r w:rsidR="00BB47F7">
        <w:t>s optantes do</w:t>
      </w:r>
      <w:r>
        <w:t xml:space="preserve"> regime tributário simplificado </w:t>
      </w:r>
      <w:r w:rsidR="00BB47F7">
        <w:t xml:space="preserve">são tributados com base em </w:t>
      </w:r>
      <w:r>
        <w:t xml:space="preserve">alíquota fixa </w:t>
      </w:r>
      <w:r w:rsidR="00BB47F7">
        <w:t xml:space="preserve">aplicada </w:t>
      </w:r>
      <w:r>
        <w:t xml:space="preserve">sobre o faturamento, </w:t>
      </w:r>
      <w:r w:rsidR="00BB47F7">
        <w:t>sem direito a crédito pelas entradas;</w:t>
      </w:r>
    </w:p>
    <w:p w14:paraId="4AF772F1" w14:textId="5FDE77A1" w:rsidR="00BB47F7" w:rsidRDefault="00DA4C46" w:rsidP="00BB47F7">
      <w:pPr>
        <w:pStyle w:val="PargrafodaLista"/>
        <w:numPr>
          <w:ilvl w:val="0"/>
          <w:numId w:val="28"/>
        </w:numPr>
        <w:jc w:val="both"/>
      </w:pPr>
      <w:r>
        <w:t>saídas interestaduais</w:t>
      </w:r>
      <w:r w:rsidR="002F7D13">
        <w:t>,</w:t>
      </w:r>
      <w:r>
        <w:t xml:space="preserve"> quando desoneradas</w:t>
      </w:r>
      <w:r w:rsidR="002F7D13">
        <w:t>,</w:t>
      </w:r>
      <w:r>
        <w:t xml:space="preserve"> </w:t>
      </w:r>
      <w:r w:rsidR="00CE157F">
        <w:t>uma vez que</w:t>
      </w:r>
      <w:r>
        <w:t xml:space="preserve"> a </w:t>
      </w:r>
      <w:r w:rsidR="00BB47F7">
        <w:t>redução</w:t>
      </w:r>
      <w:r>
        <w:t xml:space="preserve"> </w:t>
      </w:r>
      <w:r w:rsidR="00BB47F7">
        <w:t>n</w:t>
      </w:r>
      <w:r>
        <w:t xml:space="preserve">o débito da operação com destino a outra Unidade Federativa é </w:t>
      </w:r>
      <w:r w:rsidR="006B7FCA">
        <w:t>suportada</w:t>
      </w:r>
      <w:r>
        <w:t xml:space="preserve"> por São Paulo, </w:t>
      </w:r>
      <w:r w:rsidR="002F7D13">
        <w:t>sem a recuperação do tributo no elo subsequente</w:t>
      </w:r>
      <w:r w:rsidR="00BB47F7">
        <w:t>;</w:t>
      </w:r>
    </w:p>
    <w:p w14:paraId="649A2C4D" w14:textId="77777777" w:rsidR="00CE157F" w:rsidRDefault="006B7FCA" w:rsidP="00CE157F">
      <w:pPr>
        <w:pStyle w:val="PargrafodaLista"/>
        <w:numPr>
          <w:ilvl w:val="0"/>
          <w:numId w:val="28"/>
        </w:numPr>
        <w:jc w:val="both"/>
      </w:pPr>
      <w:r>
        <w:t xml:space="preserve">diferencial entre a alíquota interna e interestadual destinada a consumidor final ou não contribuinte, quando afetado </w:t>
      </w:r>
      <w:r w:rsidR="00D60E89">
        <w:t>pela</w:t>
      </w:r>
      <w:r>
        <w:t xml:space="preserve"> desoneração</w:t>
      </w:r>
      <w:r w:rsidR="00CE157F">
        <w:t>;</w:t>
      </w:r>
    </w:p>
    <w:p w14:paraId="2F67F917" w14:textId="09A27432" w:rsidR="006B7FCA" w:rsidRDefault="006B7FCA" w:rsidP="00CE157F">
      <w:pPr>
        <w:pStyle w:val="PargrafodaLista"/>
        <w:numPr>
          <w:ilvl w:val="0"/>
          <w:numId w:val="28"/>
        </w:numPr>
        <w:jc w:val="both"/>
      </w:pPr>
      <w:r>
        <w:t>importações realizadas diretamente por consumidor final ou contribuintes optantes pelo Simples Nacional.</w:t>
      </w:r>
    </w:p>
    <w:p w14:paraId="3666C536" w14:textId="2169496A" w:rsidR="00FC7010" w:rsidRDefault="00FC7010" w:rsidP="00FC7010">
      <w:pPr>
        <w:jc w:val="both"/>
      </w:pPr>
      <w:r>
        <w:t xml:space="preserve">Uma vez identificadas as operações realizadas com amparo na desoneração analisada, estima-se o imposto que teria sido cobrado à alíquota aplicável caso as operações isentas ou realizadas com redução de carga ou base de cálculo houvessem sido integralmente tributadas. Como </w:t>
      </w:r>
      <w:r w:rsidRPr="00FC6B8C">
        <w:t>padrão</w:t>
      </w:r>
      <w:r>
        <w:t xml:space="preserve">, são utilizadas, </w:t>
      </w:r>
      <w:r w:rsidR="00A60AAB">
        <w:t xml:space="preserve">como </w:t>
      </w:r>
      <w:r w:rsidR="00A60AAB" w:rsidRPr="00A60AAB">
        <w:t>parâmetro para quantificação</w:t>
      </w:r>
      <w:r w:rsidR="00A60AAB">
        <w:t xml:space="preserve">, </w:t>
      </w:r>
      <w:r>
        <w:t>as alíquotas</w:t>
      </w:r>
      <w:r w:rsidRPr="00FC6B8C">
        <w:t xml:space="preserve"> de 18%</w:t>
      </w:r>
      <w:r>
        <w:t xml:space="preserve"> em operações internas e de 12% ou 7% ou nas interestaduais, conforme o destino, verificando-se, ainda, situações particulares que dependem do produto ou da cadeia</w:t>
      </w:r>
      <w:r w:rsidR="00365A40">
        <w:t xml:space="preserve"> produtiva</w:t>
      </w:r>
      <w:r>
        <w:t xml:space="preserve">. </w:t>
      </w:r>
      <w:r w:rsidRPr="004B7409">
        <w:t xml:space="preserve">A hipótese adotada </w:t>
      </w:r>
      <w:r w:rsidRPr="004B7409">
        <w:lastRenderedPageBreak/>
        <w:t>no cálculo da desoneração relacionada às alíquotas inferiores à interestadual é que, dad</w:t>
      </w:r>
      <w:r>
        <w:t xml:space="preserve">a a opção </w:t>
      </w:r>
      <w:r w:rsidRPr="004B7409">
        <w:t>de tributar de forma menos onerosa estas mercadorias, se</w:t>
      </w:r>
      <w:r>
        <w:t>ja tomada como referência a</w:t>
      </w:r>
      <w:r w:rsidRPr="004B7409">
        <w:t xml:space="preserve"> alíquota de 12%.</w:t>
      </w:r>
      <w:r>
        <w:t xml:space="preserve"> </w:t>
      </w:r>
    </w:p>
    <w:p w14:paraId="1FA86EFA" w14:textId="77777777" w:rsidR="00FC7010" w:rsidRDefault="00FC7010" w:rsidP="00FC7010">
      <w:pPr>
        <w:jc w:val="both"/>
      </w:pPr>
      <w:r>
        <w:t>Cabe destacar que</w:t>
      </w:r>
      <w:r w:rsidRPr="004B7409">
        <w:t xml:space="preserve"> o ICMS compõe a sua própria base de tributação,</w:t>
      </w:r>
      <w:r>
        <w:t xml:space="preserve"> no que se convenciona chamar como “cálculo por dentro”.</w:t>
      </w:r>
      <w:r w:rsidRPr="004B7409">
        <w:t xml:space="preserve"> </w:t>
      </w:r>
      <w:r>
        <w:t xml:space="preserve">Assim, </w:t>
      </w:r>
      <w:r w:rsidRPr="004B7409">
        <w:t xml:space="preserve">a inclusão do imposto na base de cálculo </w:t>
      </w:r>
      <w:r>
        <w:t>é</w:t>
      </w:r>
      <w:r w:rsidRPr="004B7409">
        <w:t xml:space="preserve"> adotada para mensurar o gasto tributário, em especial na modalidade isenção. Em relação à redução da base de cálculo, conforme a natureza do benefício fez-se o ajuste da base de cálculo ou não.</w:t>
      </w:r>
    </w:p>
    <w:p w14:paraId="092C70A5" w14:textId="1A3DB4AF" w:rsidR="009B5BE8" w:rsidRDefault="009B5BE8" w:rsidP="00A45658">
      <w:pPr>
        <w:jc w:val="both"/>
      </w:pPr>
      <w:r>
        <w:t>Um aspecto adicional considera</w:t>
      </w:r>
      <w:r w:rsidR="00595B8E">
        <w:t>do</w:t>
      </w:r>
      <w:r>
        <w:t xml:space="preserve"> é a exigência ou não </w:t>
      </w:r>
      <w:r w:rsidR="005F1926">
        <w:t>de estorno do crédito</w:t>
      </w:r>
      <w:r w:rsidR="00365A40">
        <w:t xml:space="preserve"> de ICMS</w:t>
      </w:r>
      <w:r w:rsidR="005F1926">
        <w:t xml:space="preserve"> referente às operações anteriores. </w:t>
      </w:r>
      <w:r>
        <w:t>C</w:t>
      </w:r>
      <w:r w:rsidR="005F1926">
        <w:t xml:space="preserve">onforme </w:t>
      </w:r>
      <w:r>
        <w:t xml:space="preserve">estabelece o </w:t>
      </w:r>
      <w:r w:rsidR="005F1926">
        <w:t xml:space="preserve">artigo 60 do RICMS, não havendo disposição normativa em contrário, a isenção ou a não incidência implica anulação </w:t>
      </w:r>
      <w:r w:rsidR="005F1926" w:rsidRPr="005F1926">
        <w:t>do crédito relativo às operações ou prestações anteriores</w:t>
      </w:r>
      <w:r w:rsidR="005F1926">
        <w:t>.</w:t>
      </w:r>
      <w:r w:rsidR="00595B8E">
        <w:t xml:space="preserve"> </w:t>
      </w:r>
      <w:r w:rsidR="005F1926">
        <w:t xml:space="preserve">Portanto, </w:t>
      </w:r>
      <w:r>
        <w:t>em regra</w:t>
      </w:r>
      <w:r w:rsidR="005F1926">
        <w:t xml:space="preserve">, deve ser </w:t>
      </w:r>
      <w:r>
        <w:t xml:space="preserve">aferido </w:t>
      </w:r>
      <w:r w:rsidR="005F1926">
        <w:t xml:space="preserve">o imposto a ser estornado </w:t>
      </w:r>
      <w:r>
        <w:t>pelo</w:t>
      </w:r>
      <w:r w:rsidR="005F1926">
        <w:t xml:space="preserve"> contribuinte que </w:t>
      </w:r>
      <w:r>
        <w:t>promover</w:t>
      </w:r>
      <w:r w:rsidR="005F1926">
        <w:t xml:space="preserve"> a saída desonerada</w:t>
      </w:r>
      <w:r w:rsidR="00595B8E">
        <w:t xml:space="preserve">, independentemente de a operação ser destinada a quem puder se creditar ou não. Nessa situação, é possível que um benefício concedido sem possibilidade de manutenção de crédito eleve a carga tributária global, pelo efeito da </w:t>
      </w:r>
      <w:r w:rsidR="00595B8E" w:rsidRPr="00595B8E">
        <w:t>chamad</w:t>
      </w:r>
      <w:r w:rsidR="00595B8E">
        <w:t>a</w:t>
      </w:r>
      <w:r w:rsidR="00595B8E" w:rsidRPr="00595B8E">
        <w:t xml:space="preserve"> “quebra de cadeia”</w:t>
      </w:r>
      <w:r w:rsidR="00595B8E">
        <w:t xml:space="preserve"> (exceção à não cumulatividade do imposto). </w:t>
      </w:r>
      <w:r w:rsidR="0042451C">
        <w:t>Eventual</w:t>
      </w:r>
      <w:r w:rsidR="00595B8E">
        <w:t xml:space="preserve"> valor </w:t>
      </w:r>
      <w:r w:rsidR="0042451C">
        <w:t>correspondente ao</w:t>
      </w:r>
      <w:r w:rsidR="00595B8E">
        <w:t xml:space="preserve"> estorno do crédito reduz a renúncia de receita de </w:t>
      </w:r>
      <w:r w:rsidR="0042451C">
        <w:t>um benefício.</w:t>
      </w:r>
    </w:p>
    <w:p w14:paraId="6989CAF3" w14:textId="1AF207F1" w:rsidR="00212FC2" w:rsidRDefault="00212FC2" w:rsidP="00FC2E98">
      <w:pPr>
        <w:jc w:val="both"/>
        <w:rPr>
          <w:rFonts w:cstheme="minorHAnsi"/>
        </w:rPr>
      </w:pPr>
      <w:r>
        <w:rPr>
          <w:rFonts w:cstheme="minorHAnsi"/>
        </w:rPr>
        <w:t>No caso de benefícios de abrangência nacional</w:t>
      </w:r>
      <w:r w:rsidRPr="00212FC2">
        <w:rPr>
          <w:rFonts w:cstheme="minorHAnsi"/>
        </w:rPr>
        <w:t xml:space="preserve">, </w:t>
      </w:r>
      <w:r>
        <w:rPr>
          <w:rFonts w:cstheme="minorHAnsi"/>
        </w:rPr>
        <w:t xml:space="preserve">o tratamento previsto </w:t>
      </w:r>
      <w:r w:rsidR="00CC38F0">
        <w:rPr>
          <w:rFonts w:cstheme="minorHAnsi"/>
        </w:rPr>
        <w:t xml:space="preserve">em Convênios </w:t>
      </w:r>
      <w:r>
        <w:rPr>
          <w:rFonts w:cstheme="minorHAnsi"/>
        </w:rPr>
        <w:t>pode</w:t>
      </w:r>
      <w:r w:rsidRPr="00212FC2">
        <w:rPr>
          <w:rFonts w:cstheme="minorHAnsi"/>
        </w:rPr>
        <w:t xml:space="preserve"> reduzir o imposto devido a </w:t>
      </w:r>
      <w:r>
        <w:rPr>
          <w:rFonts w:cstheme="minorHAnsi"/>
        </w:rPr>
        <w:t>outro</w:t>
      </w:r>
      <w:r w:rsidRPr="00212FC2">
        <w:rPr>
          <w:rFonts w:cstheme="minorHAnsi"/>
        </w:rPr>
        <w:t xml:space="preserve"> Estado, </w:t>
      </w:r>
      <w:r>
        <w:rPr>
          <w:rFonts w:cstheme="minorHAnsi"/>
        </w:rPr>
        <w:t>com uma equivalente redução do</w:t>
      </w:r>
      <w:r w:rsidRPr="00212FC2">
        <w:rPr>
          <w:rFonts w:cstheme="minorHAnsi"/>
        </w:rPr>
        <w:t xml:space="preserve"> crédito ser suportado por </w:t>
      </w:r>
      <w:r>
        <w:rPr>
          <w:rFonts w:cstheme="minorHAnsi"/>
        </w:rPr>
        <w:t>São Paulo</w:t>
      </w:r>
      <w:r w:rsidRPr="00212FC2">
        <w:rPr>
          <w:rFonts w:cstheme="minorHAnsi"/>
        </w:rPr>
        <w:t>. Para efeito do cálculo, consider</w:t>
      </w:r>
      <w:r>
        <w:rPr>
          <w:rFonts w:cstheme="minorHAnsi"/>
        </w:rPr>
        <w:t xml:space="preserve">a-se que </w:t>
      </w:r>
      <w:r w:rsidR="00365A40">
        <w:rPr>
          <w:rFonts w:cstheme="minorHAnsi"/>
        </w:rPr>
        <w:t xml:space="preserve">o </w:t>
      </w:r>
      <w:r>
        <w:rPr>
          <w:rFonts w:cstheme="minorHAnsi"/>
        </w:rPr>
        <w:t>gasto tributário</w:t>
      </w:r>
      <w:r w:rsidRPr="00212FC2">
        <w:rPr>
          <w:rFonts w:cstheme="minorHAnsi"/>
        </w:rPr>
        <w:t xml:space="preserve"> </w:t>
      </w:r>
      <w:r w:rsidR="00365A40">
        <w:rPr>
          <w:rFonts w:cstheme="minorHAnsi"/>
        </w:rPr>
        <w:t>paulista</w:t>
      </w:r>
      <w:r w:rsidR="00CC38F0">
        <w:rPr>
          <w:rFonts w:cstheme="minorHAnsi"/>
        </w:rPr>
        <w:t xml:space="preserve"> corresponde</w:t>
      </w:r>
      <w:r w:rsidR="00CC38F0">
        <w:rPr>
          <w:rFonts w:cstheme="minorHAnsi"/>
        </w:rPr>
        <w:t xml:space="preserve"> </w:t>
      </w:r>
      <w:r>
        <w:rPr>
          <w:rFonts w:cstheme="minorHAnsi"/>
        </w:rPr>
        <w:t>à</w:t>
      </w:r>
      <w:r w:rsidRPr="00212FC2">
        <w:rPr>
          <w:rFonts w:cstheme="minorHAnsi"/>
        </w:rPr>
        <w:t xml:space="preserve"> perda de arrecadação</w:t>
      </w:r>
      <w:r>
        <w:rPr>
          <w:rFonts w:cstheme="minorHAnsi"/>
        </w:rPr>
        <w:t xml:space="preserve"> associada à aplicação interna do benefício</w:t>
      </w:r>
      <w:r w:rsidRPr="00212FC2">
        <w:rPr>
          <w:rFonts w:cstheme="minorHAnsi"/>
        </w:rPr>
        <w:t xml:space="preserve">, sem </w:t>
      </w:r>
      <w:r>
        <w:rPr>
          <w:rFonts w:cstheme="minorHAnsi"/>
        </w:rPr>
        <w:t>qualquer dedução por variação n</w:t>
      </w:r>
      <w:r w:rsidRPr="00212FC2">
        <w:rPr>
          <w:rFonts w:cstheme="minorHAnsi"/>
        </w:rPr>
        <w:t xml:space="preserve">o </w:t>
      </w:r>
      <w:r>
        <w:rPr>
          <w:rFonts w:cstheme="minorHAnsi"/>
        </w:rPr>
        <w:t>montante</w:t>
      </w:r>
      <w:r w:rsidRPr="00212FC2">
        <w:rPr>
          <w:rFonts w:cstheme="minorHAnsi"/>
        </w:rPr>
        <w:t xml:space="preserve"> de créditos recebidos</w:t>
      </w:r>
      <w:r>
        <w:rPr>
          <w:rFonts w:cstheme="minorHAnsi"/>
        </w:rPr>
        <w:t xml:space="preserve">, uma vez </w:t>
      </w:r>
      <w:r w:rsidR="00CC38F0">
        <w:rPr>
          <w:rFonts w:cstheme="minorHAnsi"/>
        </w:rPr>
        <w:t>que</w:t>
      </w:r>
      <w:r w:rsidR="00CC38F0">
        <w:rPr>
          <w:rFonts w:cstheme="minorHAnsi"/>
        </w:rPr>
        <w:t xml:space="preserve"> </w:t>
      </w:r>
      <w:r>
        <w:rPr>
          <w:rFonts w:cstheme="minorHAnsi"/>
        </w:rPr>
        <w:t>o</w:t>
      </w:r>
      <w:r w:rsidRPr="00212FC2">
        <w:rPr>
          <w:rFonts w:cstheme="minorHAnsi"/>
        </w:rPr>
        <w:t xml:space="preserve"> Estado de São Paulo </w:t>
      </w:r>
      <w:r>
        <w:rPr>
          <w:rFonts w:cstheme="minorHAnsi"/>
        </w:rPr>
        <w:t xml:space="preserve">não tem </w:t>
      </w:r>
      <w:r w:rsidRPr="00212FC2">
        <w:rPr>
          <w:rFonts w:cstheme="minorHAnsi"/>
        </w:rPr>
        <w:t xml:space="preserve">papel determinante na internalização ou não de </w:t>
      </w:r>
      <w:r>
        <w:rPr>
          <w:rFonts w:cstheme="minorHAnsi"/>
        </w:rPr>
        <w:t xml:space="preserve">benefícios pelas demais </w:t>
      </w:r>
      <w:r w:rsidRPr="00212FC2">
        <w:rPr>
          <w:rFonts w:cstheme="minorHAnsi"/>
        </w:rPr>
        <w:t>Unidades da Federação.</w:t>
      </w:r>
    </w:p>
    <w:p w14:paraId="33169849" w14:textId="10BCF0DC" w:rsidR="00FC2E98" w:rsidRDefault="00FC2E98" w:rsidP="00FC2E98">
      <w:pPr>
        <w:jc w:val="both"/>
        <w:rPr>
          <w:rFonts w:cstheme="minorHAnsi"/>
        </w:rPr>
      </w:pPr>
      <w:r>
        <w:rPr>
          <w:rFonts w:cstheme="minorHAnsi"/>
        </w:rPr>
        <w:t xml:space="preserve">Na maioria das situações, as informações necessárias para cálculo da renúncia fiscal de isenções e reduções de base de cálculo são extraídas da base de dados da nota fiscal eletrônica, podendo o levantamento incluir, ainda, outros modelos de documentos eletrônicos utilizados nas operações realizadas no varejo. </w:t>
      </w:r>
      <w:r w:rsidR="00260AC1">
        <w:rPr>
          <w:rFonts w:cstheme="minorHAnsi"/>
        </w:rPr>
        <w:t>N</w:t>
      </w:r>
      <w:r w:rsidR="00260AC1" w:rsidRPr="00260AC1">
        <w:rPr>
          <w:rFonts w:cstheme="minorHAnsi"/>
        </w:rPr>
        <w:t xml:space="preserve">os casos em que que o benefício é concedido em operações sujeitas a substituição tributária, a renúncia </w:t>
      </w:r>
      <w:r w:rsidR="00260AC1">
        <w:rPr>
          <w:rFonts w:cstheme="minorHAnsi"/>
        </w:rPr>
        <w:t>pode ser</w:t>
      </w:r>
      <w:r w:rsidR="00260AC1" w:rsidRPr="00260AC1">
        <w:rPr>
          <w:rFonts w:cstheme="minorHAnsi"/>
        </w:rPr>
        <w:t xml:space="preserve"> estimada a partir da retenção antecipada do imposto. </w:t>
      </w:r>
      <w:r>
        <w:rPr>
          <w:rFonts w:cstheme="minorHAnsi"/>
        </w:rPr>
        <w:t>Alguns setores, como energia elétrica, telecomunicações e transporte, não utilizam a nota fiscal eletrônica convencional como documento base para suas operações comerciais, o que requer a utilização de outras bases dados (sejam essas de fontes externas ou</w:t>
      </w:r>
      <w:r w:rsidRPr="00FC2E98">
        <w:rPr>
          <w:rFonts w:cstheme="minorHAnsi"/>
        </w:rPr>
        <w:t xml:space="preserve"> informações constantes das guias de apuração ou de recolhimento de ICMS, por exemplo</w:t>
      </w:r>
      <w:r>
        <w:rPr>
          <w:rFonts w:cstheme="minorHAnsi"/>
        </w:rPr>
        <w:t>) ou métodos indiretos de estimativa, como a aplicação de índices de valor agregado.</w:t>
      </w:r>
    </w:p>
    <w:p w14:paraId="04DCED4F" w14:textId="262E2524" w:rsidR="00FC2E98" w:rsidRDefault="00FC2E98" w:rsidP="00FC2E98">
      <w:pPr>
        <w:jc w:val="both"/>
        <w:rPr>
          <w:rFonts w:ascii="Calibri" w:hAnsi="Calibri"/>
          <w:b/>
          <w:bCs/>
        </w:rPr>
      </w:pPr>
      <w:r>
        <w:rPr>
          <w:rFonts w:ascii="Calibri" w:hAnsi="Calibri"/>
        </w:rPr>
        <w:t xml:space="preserve">Em certos casos, também, não é possível delimitar precisamente as </w:t>
      </w:r>
      <w:r w:rsidR="00BA016F">
        <w:rPr>
          <w:rFonts w:ascii="Calibri" w:hAnsi="Calibri"/>
        </w:rPr>
        <w:t>mercadorias</w:t>
      </w:r>
      <w:r>
        <w:rPr>
          <w:rFonts w:ascii="Calibri" w:hAnsi="Calibri"/>
        </w:rPr>
        <w:t xml:space="preserve"> alcançadas pelo dispositivo ou determinar se o produto é final ou intermediário, de modo que é difícil definir com clareza quem é o consumidor final. Nesses casos, em respeito ao princípio da prudência, considera-se, para o cálculo, o cenário de maior renúncia possível</w:t>
      </w:r>
      <w:r>
        <w:rPr>
          <w:rFonts w:ascii="Calibri" w:hAnsi="Calibri"/>
          <w:b/>
          <w:bCs/>
        </w:rPr>
        <w:t>.</w:t>
      </w:r>
    </w:p>
    <w:p w14:paraId="3B3BFB09" w14:textId="31C9FEB0" w:rsidR="009D4862" w:rsidRDefault="00A60AAB" w:rsidP="009D4862">
      <w:pPr>
        <w:jc w:val="both"/>
        <w:rPr>
          <w:rFonts w:cstheme="minorHAnsi"/>
        </w:rPr>
      </w:pPr>
      <w:r>
        <w:rPr>
          <w:rFonts w:cstheme="minorHAnsi"/>
        </w:rPr>
        <w:t>Cabe observar, ainda,</w:t>
      </w:r>
      <w:r w:rsidR="00FC2E98">
        <w:rPr>
          <w:rFonts w:cstheme="minorHAnsi"/>
        </w:rPr>
        <w:t xml:space="preserve"> que para os setores de energia elétrica e derivados de petróleo, impera o princípio do destino para as operações interestaduais, de forma que para estes setores </w:t>
      </w:r>
      <w:r>
        <w:rPr>
          <w:rFonts w:cstheme="minorHAnsi"/>
        </w:rPr>
        <w:t>a análise</w:t>
      </w:r>
      <w:r w:rsidR="00FC2E98">
        <w:rPr>
          <w:rFonts w:cstheme="minorHAnsi"/>
        </w:rPr>
        <w:t xml:space="preserve"> considera </w:t>
      </w:r>
      <w:r>
        <w:rPr>
          <w:rFonts w:cstheme="minorHAnsi"/>
        </w:rPr>
        <w:t xml:space="preserve">que </w:t>
      </w:r>
      <w:r w:rsidR="00FC2E98">
        <w:rPr>
          <w:rFonts w:cstheme="minorHAnsi"/>
        </w:rPr>
        <w:t xml:space="preserve">toda a arrecadação </w:t>
      </w:r>
      <w:r>
        <w:rPr>
          <w:rFonts w:cstheme="minorHAnsi"/>
        </w:rPr>
        <w:t>seria devida a</w:t>
      </w:r>
      <w:r w:rsidR="00FC2E98">
        <w:rPr>
          <w:rFonts w:cstheme="minorHAnsi"/>
        </w:rPr>
        <w:t>o Estado de destino das mercadorias.</w:t>
      </w:r>
    </w:p>
    <w:p w14:paraId="7A5B125A" w14:textId="77777777" w:rsidR="00A60AAB" w:rsidRDefault="00A60AAB" w:rsidP="00A60AAB">
      <w:pPr>
        <w:jc w:val="both"/>
      </w:pPr>
      <w:r w:rsidRPr="00C8106E">
        <w:lastRenderedPageBreak/>
        <w:t xml:space="preserve">A metodologia </w:t>
      </w:r>
      <w:r>
        <w:t xml:space="preserve">de </w:t>
      </w:r>
      <w:r w:rsidRPr="00C8106E">
        <w:t xml:space="preserve">cálculo </w:t>
      </w:r>
      <w:r>
        <w:t>de cada benefício fiscal é</w:t>
      </w:r>
      <w:r w:rsidRPr="00C8106E">
        <w:t xml:space="preserve"> </w:t>
      </w:r>
      <w:r>
        <w:t xml:space="preserve">revisada anualmente </w:t>
      </w:r>
      <w:r w:rsidRPr="00C8106E">
        <w:t xml:space="preserve">para </w:t>
      </w:r>
      <w:r>
        <w:t>acomodar eventuais mudanças legislativas que impactem a tributação da cadeia de circulação beneficiada pela norma correspondente.</w:t>
      </w:r>
    </w:p>
    <w:p w14:paraId="058E8081" w14:textId="77777777" w:rsidR="00A60AAB" w:rsidRPr="00A60AAB" w:rsidRDefault="00A60AAB" w:rsidP="009D4862">
      <w:pPr>
        <w:jc w:val="both"/>
        <w:rPr>
          <w:rFonts w:cstheme="minorHAnsi"/>
        </w:rPr>
      </w:pPr>
    </w:p>
    <w:p w14:paraId="071A4E55" w14:textId="79EBA421" w:rsidR="009D4862" w:rsidRDefault="008D3B24" w:rsidP="009D4862">
      <w:pPr>
        <w:pStyle w:val="Ttulo1"/>
        <w:numPr>
          <w:ilvl w:val="0"/>
          <w:numId w:val="6"/>
        </w:numPr>
        <w:spacing w:before="0"/>
        <w:ind w:left="357" w:hanging="357"/>
        <w:rPr>
          <w:sz w:val="24"/>
        </w:rPr>
      </w:pPr>
      <w:bookmarkStart w:id="3" w:name="_Toc182841737"/>
      <w:r>
        <w:rPr>
          <w:sz w:val="24"/>
        </w:rPr>
        <w:t>Modelo aplicado aos c</w:t>
      </w:r>
      <w:r w:rsidR="00D23323">
        <w:rPr>
          <w:sz w:val="24"/>
        </w:rPr>
        <w:t>rédito</w:t>
      </w:r>
      <w:r w:rsidR="00032489">
        <w:rPr>
          <w:sz w:val="24"/>
        </w:rPr>
        <w:t>s</w:t>
      </w:r>
      <w:r w:rsidR="00D23323">
        <w:rPr>
          <w:sz w:val="24"/>
        </w:rPr>
        <w:t xml:space="preserve"> outorgado</w:t>
      </w:r>
      <w:r w:rsidR="00032489">
        <w:rPr>
          <w:sz w:val="24"/>
        </w:rPr>
        <w:t>s</w:t>
      </w:r>
      <w:bookmarkEnd w:id="3"/>
    </w:p>
    <w:p w14:paraId="173BBFFD" w14:textId="77777777" w:rsidR="009D4862" w:rsidRPr="00CE157F" w:rsidRDefault="009D4862" w:rsidP="009D4862"/>
    <w:p w14:paraId="66A8C48A" w14:textId="73EFFA74" w:rsidR="00A45658" w:rsidRDefault="00A45658" w:rsidP="00F52B11">
      <w:pPr>
        <w:jc w:val="both"/>
      </w:pPr>
      <w:r>
        <w:t xml:space="preserve">Na modalidade de crédito outorgado, o benefício de ICMS pode permitir que o contribuinte se </w:t>
      </w:r>
      <w:r w:rsidRPr="00A45658">
        <w:t>credit</w:t>
      </w:r>
      <w:r>
        <w:t>e</w:t>
      </w:r>
      <w:r w:rsidRPr="00A45658">
        <w:t xml:space="preserve"> sem </w:t>
      </w:r>
      <w:r>
        <w:t xml:space="preserve">que haja </w:t>
      </w:r>
      <w:r w:rsidRPr="00A45658">
        <w:t>débito anterior</w:t>
      </w:r>
      <w:r>
        <w:t xml:space="preserve">, </w:t>
      </w:r>
      <w:r w:rsidR="00D23323">
        <w:t xml:space="preserve">elevando o </w:t>
      </w:r>
      <w:r w:rsidR="00D23323" w:rsidRPr="00D23323">
        <w:t xml:space="preserve">valor do crédito a ser compensado </w:t>
      </w:r>
      <w:r w:rsidR="00D23323">
        <w:t xml:space="preserve">e </w:t>
      </w:r>
      <w:r>
        <w:t>reduzindo</w:t>
      </w:r>
      <w:r w:rsidR="00D23323">
        <w:t>,</w:t>
      </w:r>
      <w:r>
        <w:t xml:space="preserve"> assim</w:t>
      </w:r>
      <w:r w:rsidR="00D23323">
        <w:t>,</w:t>
      </w:r>
      <w:r>
        <w:t xml:space="preserve"> o imposto apurado</w:t>
      </w:r>
      <w:r w:rsidRPr="00A45658">
        <w:t>.</w:t>
      </w:r>
      <w:r w:rsidR="005A32ED">
        <w:t xml:space="preserve"> </w:t>
      </w:r>
      <w:r w:rsidR="00F52B11">
        <w:t>Ao contrário d</w:t>
      </w:r>
      <w:r>
        <w:t xml:space="preserve">as modalidades </w:t>
      </w:r>
      <w:r w:rsidR="00F52B11">
        <w:t xml:space="preserve">de isenção e de redução de base de cálculo ou alíquota, </w:t>
      </w:r>
      <w:r w:rsidR="005A32ED">
        <w:t>não</w:t>
      </w:r>
      <w:r w:rsidR="00F52B11">
        <w:t xml:space="preserve"> </w:t>
      </w:r>
      <w:r>
        <w:t xml:space="preserve">há </w:t>
      </w:r>
      <w:r w:rsidR="005A32ED">
        <w:t>efeito de</w:t>
      </w:r>
      <w:r>
        <w:t xml:space="preserve"> redução d</w:t>
      </w:r>
      <w:r w:rsidR="00F52B11">
        <w:t xml:space="preserve">o crédito </w:t>
      </w:r>
      <w:r w:rsidR="005A32ED">
        <w:t xml:space="preserve">transferido para </w:t>
      </w:r>
      <w:r w:rsidR="00F52B11">
        <w:t>o elo seguinte da cadeia</w:t>
      </w:r>
      <w:r>
        <w:t>.</w:t>
      </w:r>
    </w:p>
    <w:p w14:paraId="17600DE8" w14:textId="1536437A" w:rsidR="00D23323" w:rsidRDefault="00A45658" w:rsidP="00D23323">
      <w:pPr>
        <w:jc w:val="both"/>
      </w:pPr>
      <w:r>
        <w:t>Por seus efeitos restritos a</w:t>
      </w:r>
      <w:r w:rsidR="00CF1194">
        <w:t xml:space="preserve">o </w:t>
      </w:r>
      <w:r w:rsidR="005A32ED">
        <w:t>beneficiário</w:t>
      </w:r>
      <w:r w:rsidR="00CF1194">
        <w:t xml:space="preserve">, </w:t>
      </w:r>
      <w:r>
        <w:t>o levantamento do gasto tributário para a modalidade de crédito outorgado</w:t>
      </w:r>
      <w:r w:rsidR="00CF1194">
        <w:t xml:space="preserve"> </w:t>
      </w:r>
      <w:r>
        <w:t xml:space="preserve">pode ser realizado </w:t>
      </w:r>
      <w:r w:rsidR="005A32ED">
        <w:t xml:space="preserve">diretamente </w:t>
      </w:r>
      <w:r>
        <w:t xml:space="preserve">a partir dos lançamentos escriturados </w:t>
      </w:r>
      <w:r w:rsidR="005A32ED">
        <w:t>pelo contribuinte que dele se utiliza</w:t>
      </w:r>
      <w:r w:rsidR="00D23323">
        <w:t>. A classificação das renúncias por dispositivo é efetuada com base em códigos e/ou campos de textos livremente preenchidos pelo contribuinte nos registros de lançamento de crédito. Assim, os itens "não classificados" são referentes a casos em que o contribuinte preenche o texto com informações suficientes para identificar que se trata de um crédito outorgado, mas não é possível associá-lo a um normativo específico.</w:t>
      </w:r>
    </w:p>
    <w:p w14:paraId="06FC3084" w14:textId="564C5852" w:rsidR="00D23323" w:rsidRDefault="00D23323" w:rsidP="00D23323">
      <w:pPr>
        <w:jc w:val="both"/>
      </w:pPr>
      <w:r>
        <w:t>Em alguns casos, os créditos outorgados são concedidos em substituição a outros créditos, e, sendo assim, os valores lançados podem, em certa medida, superestimar a renúncia de receita envolvida. O</w:t>
      </w:r>
      <w:r w:rsidRPr="00D23323">
        <w:t xml:space="preserve"> gasto tributário identificado corresponde aos valores brutos lançados de crédito outorgado, mostrando-se uma estimativa conservadora</w:t>
      </w:r>
      <w:r>
        <w:t xml:space="preserve">, dado que uma aferição mais precisa exigiria que fosse feito um processamento complexo para a dedução dos </w:t>
      </w:r>
      <w:r w:rsidRPr="00D23323">
        <w:t>crédito</w:t>
      </w:r>
      <w:r>
        <w:t>s</w:t>
      </w:r>
      <w:r w:rsidRPr="00D23323">
        <w:t xml:space="preserve"> </w:t>
      </w:r>
      <w:r>
        <w:t>estornados.</w:t>
      </w:r>
    </w:p>
    <w:p w14:paraId="0B098CE8" w14:textId="77777777" w:rsidR="00571CF5" w:rsidRDefault="0056177B" w:rsidP="00D23323">
      <w:pPr>
        <w:jc w:val="both"/>
      </w:pPr>
      <w:r>
        <w:t xml:space="preserve">Assume-se, de modo geral, que os valores tenham sido corretamente informados pelo contribuinte, sem prejuízo de posterior </w:t>
      </w:r>
      <w:r w:rsidR="008A1666">
        <w:t>fiscalização do crédito lançado.</w:t>
      </w:r>
    </w:p>
    <w:p w14:paraId="43125BEA" w14:textId="061CC42E" w:rsidR="008D3B24" w:rsidRDefault="008D3B24" w:rsidP="00D23323">
      <w:pPr>
        <w:jc w:val="both"/>
      </w:pPr>
      <w:r>
        <w:t xml:space="preserve">O levantamento da renúncia fiscal na modalidade de crédito outorgado é </w:t>
      </w:r>
      <w:r w:rsidR="00B20A48">
        <w:t>realizado</w:t>
      </w:r>
      <w:r>
        <w:t xml:space="preserve"> de forma conjunta, para todos os benefícios vigentes no exercício objeto de análise.</w:t>
      </w:r>
    </w:p>
    <w:sectPr w:rsidR="008D3B24" w:rsidSect="00D7202F">
      <w:headerReference w:type="default" r:id="rId8"/>
      <w:footerReference w:type="default" r:id="rId9"/>
      <w:headerReference w:type="first" r:id="rId10"/>
      <w:footerReference w:type="first" r:id="rId11"/>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9EF3B" w14:textId="77777777" w:rsidR="00982066" w:rsidRDefault="00982066" w:rsidP="00F51F8B">
      <w:pPr>
        <w:spacing w:after="0" w:line="240" w:lineRule="auto"/>
      </w:pPr>
      <w:r>
        <w:separator/>
      </w:r>
    </w:p>
  </w:endnote>
  <w:endnote w:type="continuationSeparator" w:id="0">
    <w:p w14:paraId="22150601" w14:textId="77777777" w:rsidR="00982066" w:rsidRDefault="00982066" w:rsidP="00F5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28452" w14:textId="7584D211" w:rsidR="00502F2A" w:rsidRPr="007979D5" w:rsidRDefault="00502F2A" w:rsidP="007979D5">
    <w:pPr>
      <w:pStyle w:val="Rodap"/>
      <w:rPr>
        <w:sz w:val="18"/>
      </w:rPr>
    </w:pPr>
    <w:r>
      <w:ptab w:relativeTo="margin" w:alignment="right" w:leader="none"/>
    </w:r>
    <w:r w:rsidRPr="00926D90">
      <w:rPr>
        <w:sz w:val="20"/>
      </w:rPr>
      <w:fldChar w:fldCharType="begin"/>
    </w:r>
    <w:r w:rsidRPr="00926D90">
      <w:rPr>
        <w:sz w:val="20"/>
      </w:rPr>
      <w:instrText xml:space="preserve"> PAGE   \* MERGEFORMAT </w:instrText>
    </w:r>
    <w:r w:rsidRPr="00926D90">
      <w:rPr>
        <w:sz w:val="20"/>
      </w:rPr>
      <w:fldChar w:fldCharType="separate"/>
    </w:r>
    <w:r w:rsidR="00AB4ED6">
      <w:rPr>
        <w:noProof/>
        <w:sz w:val="20"/>
      </w:rPr>
      <w:t>2</w:t>
    </w:r>
    <w:r w:rsidRPr="00926D90">
      <w:rPr>
        <w:sz w:val="20"/>
      </w:rPr>
      <w:fldChar w:fldCharType="end"/>
    </w:r>
    <w:r w:rsidRPr="00926D90">
      <w:rPr>
        <w:sz w:val="20"/>
      </w:rPr>
      <w:t>/</w:t>
    </w:r>
    <w:r w:rsidRPr="00926D90">
      <w:rPr>
        <w:sz w:val="20"/>
      </w:rPr>
      <w:fldChar w:fldCharType="begin"/>
    </w:r>
    <w:r w:rsidRPr="00926D90">
      <w:rPr>
        <w:sz w:val="20"/>
      </w:rPr>
      <w:instrText xml:space="preserve"> NUMPAGES   \* MERGEFORMAT </w:instrText>
    </w:r>
    <w:r w:rsidRPr="00926D90">
      <w:rPr>
        <w:sz w:val="20"/>
      </w:rPr>
      <w:fldChar w:fldCharType="separate"/>
    </w:r>
    <w:r w:rsidR="00AB4ED6">
      <w:rPr>
        <w:noProof/>
        <w:sz w:val="20"/>
      </w:rPr>
      <w:t>2</w:t>
    </w:r>
    <w:r w:rsidRPr="00926D90">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A987" w14:textId="741E5E14" w:rsidR="00502F2A" w:rsidRPr="00926D90" w:rsidRDefault="00E435C3" w:rsidP="00705CF6">
    <w:pPr>
      <w:pStyle w:val="Rodap"/>
      <w:rPr>
        <w:sz w:val="18"/>
      </w:rPr>
    </w:pPr>
    <w:r>
      <w:rPr>
        <w:i/>
        <w:iCs/>
        <w:sz w:val="18"/>
      </w:rPr>
      <w:t>Elaboração:</w:t>
    </w:r>
    <w:r w:rsidRPr="00E435C3">
      <w:rPr>
        <w:i/>
        <w:iCs/>
        <w:sz w:val="18"/>
      </w:rPr>
      <w:t xml:space="preserve"> </w:t>
    </w:r>
    <w:r w:rsidR="004370FB">
      <w:rPr>
        <w:i/>
        <w:iCs/>
        <w:sz w:val="18"/>
      </w:rPr>
      <w:t>novembro</w:t>
    </w:r>
    <w:r w:rsidRPr="00E435C3">
      <w:rPr>
        <w:i/>
        <w:iCs/>
        <w:sz w:val="18"/>
      </w:rPr>
      <w:t>/2024.</w:t>
    </w:r>
    <w:r w:rsidR="00502F2A">
      <w:ptab w:relativeTo="margin" w:alignment="right" w:leader="none"/>
    </w:r>
    <w:r w:rsidR="00502F2A" w:rsidRPr="00926D90">
      <w:rPr>
        <w:sz w:val="20"/>
      </w:rPr>
      <w:fldChar w:fldCharType="begin"/>
    </w:r>
    <w:r w:rsidR="00502F2A" w:rsidRPr="00926D90">
      <w:rPr>
        <w:sz w:val="20"/>
      </w:rPr>
      <w:instrText xml:space="preserve"> PAGE   \* MERGEFORMAT </w:instrText>
    </w:r>
    <w:r w:rsidR="00502F2A" w:rsidRPr="00926D90">
      <w:rPr>
        <w:sz w:val="20"/>
      </w:rPr>
      <w:fldChar w:fldCharType="separate"/>
    </w:r>
    <w:r w:rsidR="00AB4ED6">
      <w:rPr>
        <w:noProof/>
        <w:sz w:val="20"/>
      </w:rPr>
      <w:t>1</w:t>
    </w:r>
    <w:r w:rsidR="00502F2A" w:rsidRPr="00926D90">
      <w:rPr>
        <w:sz w:val="20"/>
      </w:rPr>
      <w:fldChar w:fldCharType="end"/>
    </w:r>
    <w:r w:rsidR="00502F2A" w:rsidRPr="00926D90">
      <w:rPr>
        <w:sz w:val="20"/>
      </w:rPr>
      <w:t>/</w:t>
    </w:r>
    <w:r w:rsidR="00502F2A" w:rsidRPr="00926D90">
      <w:rPr>
        <w:sz w:val="20"/>
      </w:rPr>
      <w:fldChar w:fldCharType="begin"/>
    </w:r>
    <w:r w:rsidR="00502F2A" w:rsidRPr="00926D90">
      <w:rPr>
        <w:sz w:val="20"/>
      </w:rPr>
      <w:instrText xml:space="preserve"> NUMPAGES   \* MERGEFORMAT </w:instrText>
    </w:r>
    <w:r w:rsidR="00502F2A" w:rsidRPr="00926D90">
      <w:rPr>
        <w:sz w:val="20"/>
      </w:rPr>
      <w:fldChar w:fldCharType="separate"/>
    </w:r>
    <w:r w:rsidR="00AB4ED6">
      <w:rPr>
        <w:noProof/>
        <w:sz w:val="20"/>
      </w:rPr>
      <w:t>2</w:t>
    </w:r>
    <w:r w:rsidR="00502F2A" w:rsidRPr="00926D9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66A0D" w14:textId="77777777" w:rsidR="00982066" w:rsidRDefault="00982066" w:rsidP="00F51F8B">
      <w:pPr>
        <w:spacing w:after="0" w:line="240" w:lineRule="auto"/>
      </w:pPr>
      <w:r>
        <w:separator/>
      </w:r>
    </w:p>
  </w:footnote>
  <w:footnote w:type="continuationSeparator" w:id="0">
    <w:p w14:paraId="41FB5C85" w14:textId="77777777" w:rsidR="00982066" w:rsidRDefault="00982066" w:rsidP="00F51F8B">
      <w:pPr>
        <w:spacing w:after="0" w:line="240" w:lineRule="auto"/>
      </w:pPr>
      <w:r>
        <w:continuationSeparator/>
      </w:r>
    </w:p>
  </w:footnote>
  <w:footnote w:id="1">
    <w:p w14:paraId="7AC87240" w14:textId="4CE290D1" w:rsidR="00AE4771" w:rsidRDefault="00AE4771" w:rsidP="00AE4771">
      <w:pPr>
        <w:pStyle w:val="Textodenotaderodap"/>
        <w:jc w:val="both"/>
      </w:pPr>
      <w:r>
        <w:rPr>
          <w:rStyle w:val="Refdenotaderodap"/>
        </w:rPr>
        <w:footnoteRef/>
      </w:r>
      <w:r>
        <w:t xml:space="preserve"> A aplicação da metodologia descrita foi introduzida a partir do</w:t>
      </w:r>
      <w:r w:rsidR="00F64E2C">
        <w:t>s demonstrativos apresentados no</w:t>
      </w:r>
      <w:r>
        <w:t xml:space="preserve"> Projeto de Lei de Diretrizes Orçamentárias (PLDO) elaborado para o exercício de 2022. Até então, as estimativas de renúncia de receita de ICMS eram calculadas por um modelo que considerava basicamente as diferenças de carga tributária média entre setores da economia</w:t>
      </w:r>
      <w:r w:rsidR="00F64E2C">
        <w:t>, sem a possibilidade de detalhamento por benefício ou normativo, com resultados que não se mostram não passíveis de comparação com aqueles mais recentemente produzidos.</w:t>
      </w:r>
    </w:p>
  </w:footnote>
  <w:footnote w:id="2">
    <w:p w14:paraId="71AF15DA" w14:textId="4FD5E0BA" w:rsidR="008B5273" w:rsidRDefault="008B5273" w:rsidP="008B5273">
      <w:pPr>
        <w:pStyle w:val="Textodenotaderodap"/>
        <w:jc w:val="both"/>
      </w:pPr>
      <w:r>
        <w:rPr>
          <w:rStyle w:val="Refdenotaderodap"/>
        </w:rPr>
        <w:footnoteRef/>
      </w:r>
      <w:r>
        <w:t xml:space="preserve"> Cabe mencionar, neste sentido,</w:t>
      </w:r>
      <w:r w:rsidRPr="008B5273">
        <w:t xml:space="preserve"> a posição do STF em sede da Ação Direta de Inconstitucionalidade nº 3.676/SP que sedimentou o entendimento de que o diferimento do lançamento tributário não se confunde com a concessão de incentivos ou benefícios fiscais de ICMS, podendo ser estabelecida sem a prévia celebração de convênio no âmbito do Confaz.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5AE5" w14:textId="77777777" w:rsidR="00502F2A" w:rsidRDefault="00502F2A">
    <w:pPr>
      <w:pStyle w:val="Cabealho"/>
    </w:pPr>
  </w:p>
  <w:p w14:paraId="3DFC07D1" w14:textId="77777777" w:rsidR="00502F2A" w:rsidRDefault="00502F2A" w:rsidP="00A35B86">
    <w:pPr>
      <w:pStyle w:val="Cabealho"/>
      <w:tabs>
        <w:tab w:val="clear" w:pos="425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53F9A" w14:textId="77777777" w:rsidR="00502F2A" w:rsidRPr="00171E22" w:rsidRDefault="00571CF5" w:rsidP="00283A4D">
    <w:pPr>
      <w:pStyle w:val="Ttulo4"/>
      <w:rPr>
        <w:rFonts w:asciiTheme="minorHAnsi" w:hAnsiTheme="minorHAnsi" w:cs="Arial"/>
        <w:sz w:val="2"/>
        <w:szCs w:val="24"/>
      </w:rPr>
    </w:pPr>
    <w:r>
      <w:rPr>
        <w:rFonts w:ascii="Arial (W1)" w:hAnsi="Arial (W1)" w:cs="Times New Roman"/>
        <w:noProof/>
        <w:sz w:val="24"/>
        <w:szCs w:val="20"/>
      </w:rPr>
      <w:object w:dxaOrig="1440" w:dyaOrig="1440" w14:anchorId="2DE80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2.25pt;height:71.25pt;z-index:-251658752;mso-position-horizontal:left;mso-position-horizontal-relative:text;mso-position-vertical:absolute;mso-position-vertical-relative:text" fillcolor="window">
          <v:imagedata r:id="rId1" o:title=""/>
        </v:shape>
        <o:OLEObject Type="Embed" ProgID="Word.Picture.8" ShapeID="_x0000_s1028" DrawAspect="Content" ObjectID="_1793454734" r:id="rId2"/>
      </w:object>
    </w:r>
    <w:r w:rsidR="00502F2A" w:rsidRPr="00F42F3D">
      <w:rPr>
        <w:rFonts w:asciiTheme="minorHAnsi" w:hAnsiTheme="minorHAnsi" w:cs="Arial"/>
        <w:sz w:val="24"/>
        <w:szCs w:val="24"/>
      </w:rPr>
      <w:t xml:space="preserve"> </w:t>
    </w:r>
  </w:p>
  <w:p w14:paraId="1885A5EE" w14:textId="77777777" w:rsidR="00502F2A" w:rsidRPr="00171E22" w:rsidRDefault="00502F2A" w:rsidP="00283A4D">
    <w:pPr>
      <w:pStyle w:val="Ttulo4"/>
      <w:keepLines w:val="0"/>
      <w:spacing w:before="0" w:line="240" w:lineRule="auto"/>
      <w:ind w:left="1134" w:firstLine="142"/>
      <w:jc w:val="center"/>
      <w:rPr>
        <w:rFonts w:asciiTheme="minorHAnsi" w:eastAsia="Times New Roman" w:hAnsiTheme="minorHAnsi" w:cs="Arial"/>
        <w:bCs w:val="0"/>
        <w:i w:val="0"/>
        <w:iCs w:val="0"/>
        <w:color w:val="auto"/>
        <w:sz w:val="24"/>
        <w:szCs w:val="24"/>
        <w:lang w:eastAsia="pt-BR"/>
      </w:rPr>
    </w:pPr>
    <w:r w:rsidRPr="00171E22">
      <w:rPr>
        <w:rFonts w:asciiTheme="minorHAnsi" w:eastAsia="Times New Roman" w:hAnsiTheme="minorHAnsi" w:cs="Arial"/>
        <w:bCs w:val="0"/>
        <w:i w:val="0"/>
        <w:iCs w:val="0"/>
        <w:color w:val="auto"/>
        <w:sz w:val="24"/>
        <w:szCs w:val="24"/>
        <w:lang w:eastAsia="pt-BR"/>
      </w:rPr>
      <w:t xml:space="preserve">SECRETARIA DA FAZENDA </w:t>
    </w:r>
    <w:r>
      <w:rPr>
        <w:rFonts w:asciiTheme="minorHAnsi" w:eastAsia="Times New Roman" w:hAnsiTheme="minorHAnsi" w:cs="Arial"/>
        <w:bCs w:val="0"/>
        <w:i w:val="0"/>
        <w:iCs w:val="0"/>
        <w:color w:val="auto"/>
        <w:sz w:val="24"/>
        <w:szCs w:val="24"/>
        <w:lang w:eastAsia="pt-BR"/>
      </w:rPr>
      <w:t>E PLANEJAMENTO</w:t>
    </w:r>
  </w:p>
  <w:p w14:paraId="5A3B4AAB" w14:textId="1B2039C2" w:rsidR="00502F2A" w:rsidRPr="00171E22" w:rsidRDefault="006A4653" w:rsidP="00283A4D">
    <w:pPr>
      <w:pStyle w:val="Ttulo4"/>
      <w:keepLines w:val="0"/>
      <w:spacing w:before="0" w:line="240" w:lineRule="auto"/>
      <w:ind w:left="1134" w:firstLine="142"/>
      <w:jc w:val="center"/>
      <w:rPr>
        <w:rFonts w:asciiTheme="minorHAnsi" w:eastAsia="Times New Roman" w:hAnsiTheme="minorHAnsi" w:cs="Arial"/>
        <w:bCs w:val="0"/>
        <w:i w:val="0"/>
        <w:iCs w:val="0"/>
        <w:color w:val="auto"/>
        <w:sz w:val="24"/>
        <w:szCs w:val="24"/>
        <w:lang w:eastAsia="pt-BR"/>
      </w:rPr>
    </w:pPr>
    <w:r>
      <w:rPr>
        <w:rFonts w:asciiTheme="minorHAnsi" w:eastAsia="Times New Roman" w:hAnsiTheme="minorHAnsi" w:cs="Arial"/>
        <w:bCs w:val="0"/>
        <w:i w:val="0"/>
        <w:iCs w:val="0"/>
        <w:color w:val="auto"/>
        <w:sz w:val="24"/>
        <w:szCs w:val="24"/>
        <w:lang w:eastAsia="pt-BR"/>
      </w:rPr>
      <w:t>SUBSECRETARIA DA RECEITA ESTADUAL</w:t>
    </w:r>
  </w:p>
  <w:p w14:paraId="2FAC5D3C" w14:textId="31EB7094" w:rsidR="00502F2A" w:rsidRPr="00171E22" w:rsidRDefault="006A4653" w:rsidP="00283A4D">
    <w:pPr>
      <w:pStyle w:val="Ttulo4"/>
      <w:keepLines w:val="0"/>
      <w:spacing w:before="0" w:line="240" w:lineRule="auto"/>
      <w:ind w:left="1134" w:firstLine="142"/>
      <w:jc w:val="center"/>
      <w:rPr>
        <w:rFonts w:asciiTheme="minorHAnsi" w:eastAsia="Times New Roman" w:hAnsiTheme="minorHAnsi" w:cs="Arial"/>
        <w:bCs w:val="0"/>
        <w:i w:val="0"/>
        <w:iCs w:val="0"/>
        <w:color w:val="auto"/>
        <w:sz w:val="24"/>
        <w:szCs w:val="24"/>
        <w:lang w:eastAsia="pt-BR"/>
      </w:rPr>
    </w:pPr>
    <w:r>
      <w:rPr>
        <w:rFonts w:asciiTheme="minorHAnsi" w:eastAsia="Times New Roman" w:hAnsiTheme="minorHAnsi" w:cs="Arial"/>
        <w:bCs w:val="0"/>
        <w:i w:val="0"/>
        <w:iCs w:val="0"/>
        <w:color w:val="auto"/>
        <w:sz w:val="24"/>
        <w:szCs w:val="24"/>
        <w:lang w:eastAsia="pt-BR"/>
      </w:rPr>
      <w:t>DEPARTAMENTO DE ESTUDOS DE POLÍTICA TRIBUTÁRIA - DEPT</w:t>
    </w:r>
  </w:p>
  <w:p w14:paraId="02819BD8" w14:textId="77777777" w:rsidR="00502F2A" w:rsidRDefault="00502F2A" w:rsidP="00926D90">
    <w:pPr>
      <w:spacing w:after="0" w:line="240" w:lineRule="auto"/>
      <w:jc w:val="right"/>
      <w:rPr>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A98"/>
    <w:multiLevelType w:val="hybridMultilevel"/>
    <w:tmpl w:val="1BD2A1D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F7C7D"/>
    <w:multiLevelType w:val="hybridMultilevel"/>
    <w:tmpl w:val="4AA4E3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B14A68"/>
    <w:multiLevelType w:val="hybridMultilevel"/>
    <w:tmpl w:val="7938EAA0"/>
    <w:lvl w:ilvl="0" w:tplc="04160019">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912CB7"/>
    <w:multiLevelType w:val="hybridMultilevel"/>
    <w:tmpl w:val="516C1C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986285"/>
    <w:multiLevelType w:val="hybridMultilevel"/>
    <w:tmpl w:val="C8B2E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D616E0"/>
    <w:multiLevelType w:val="hybridMultilevel"/>
    <w:tmpl w:val="8F566AA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511471"/>
    <w:multiLevelType w:val="hybridMultilevel"/>
    <w:tmpl w:val="EF1CC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13295D"/>
    <w:multiLevelType w:val="hybridMultilevel"/>
    <w:tmpl w:val="05001E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B14DCE"/>
    <w:multiLevelType w:val="hybridMultilevel"/>
    <w:tmpl w:val="41BE916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22363CD6"/>
    <w:multiLevelType w:val="hybridMultilevel"/>
    <w:tmpl w:val="DE560D40"/>
    <w:lvl w:ilvl="0" w:tplc="C1E892D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78252B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A924A3"/>
    <w:multiLevelType w:val="hybridMultilevel"/>
    <w:tmpl w:val="10389D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066412"/>
    <w:multiLevelType w:val="hybridMultilevel"/>
    <w:tmpl w:val="8C7277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3E2127D2"/>
    <w:multiLevelType w:val="hybridMultilevel"/>
    <w:tmpl w:val="476A1AF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42F56673"/>
    <w:multiLevelType w:val="multilevel"/>
    <w:tmpl w:val="9BEE67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37177F8"/>
    <w:multiLevelType w:val="hybridMultilevel"/>
    <w:tmpl w:val="148C9AA2"/>
    <w:lvl w:ilvl="0" w:tplc="836E9F0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3B45EB"/>
    <w:multiLevelType w:val="hybridMultilevel"/>
    <w:tmpl w:val="2CCE66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9157D51"/>
    <w:multiLevelType w:val="hybridMultilevel"/>
    <w:tmpl w:val="BE8471CA"/>
    <w:lvl w:ilvl="0" w:tplc="C7CA196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DC7256"/>
    <w:multiLevelType w:val="hybridMultilevel"/>
    <w:tmpl w:val="3546141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66056B2"/>
    <w:multiLevelType w:val="hybridMultilevel"/>
    <w:tmpl w:val="D2326A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E36AA7"/>
    <w:multiLevelType w:val="hybridMultilevel"/>
    <w:tmpl w:val="C6288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448696F"/>
    <w:multiLevelType w:val="hybridMultilevel"/>
    <w:tmpl w:val="05CCD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8E3F8B"/>
    <w:multiLevelType w:val="hybridMultilevel"/>
    <w:tmpl w:val="E1B224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D12BC5"/>
    <w:multiLevelType w:val="hybridMultilevel"/>
    <w:tmpl w:val="60749FB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77A07A6B"/>
    <w:multiLevelType w:val="hybridMultilevel"/>
    <w:tmpl w:val="50E83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7AE291F"/>
    <w:multiLevelType w:val="hybridMultilevel"/>
    <w:tmpl w:val="92C89A00"/>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6" w15:restartNumberingAfterBreak="0">
    <w:nsid w:val="77D4617A"/>
    <w:multiLevelType w:val="hybridMultilevel"/>
    <w:tmpl w:val="B05E7D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56624D"/>
    <w:multiLevelType w:val="hybridMultilevel"/>
    <w:tmpl w:val="D4507CDA"/>
    <w:lvl w:ilvl="0" w:tplc="553C5014">
      <w:start w:val="1"/>
      <w:numFmt w:val="bullet"/>
      <w:lvlText w:val="–"/>
      <w:lvlJc w:val="left"/>
      <w:pPr>
        <w:tabs>
          <w:tab w:val="num" w:pos="360"/>
        </w:tabs>
        <w:ind w:left="360" w:hanging="360"/>
      </w:pPr>
      <w:rPr>
        <w:rFonts w:ascii="Arial" w:hAnsi="Arial" w:hint="default"/>
      </w:rPr>
    </w:lvl>
    <w:lvl w:ilvl="1" w:tplc="9CCE28FE">
      <w:start w:val="1"/>
      <w:numFmt w:val="bullet"/>
      <w:lvlText w:val="–"/>
      <w:lvlJc w:val="left"/>
      <w:pPr>
        <w:tabs>
          <w:tab w:val="num" w:pos="1080"/>
        </w:tabs>
        <w:ind w:left="1080" w:hanging="360"/>
      </w:pPr>
      <w:rPr>
        <w:rFonts w:ascii="Arial" w:hAnsi="Arial" w:hint="default"/>
      </w:rPr>
    </w:lvl>
    <w:lvl w:ilvl="2" w:tplc="DC5EB62A">
      <w:numFmt w:val="bullet"/>
      <w:lvlText w:val="•"/>
      <w:lvlJc w:val="left"/>
      <w:pPr>
        <w:tabs>
          <w:tab w:val="num" w:pos="1800"/>
        </w:tabs>
        <w:ind w:left="1800" w:hanging="360"/>
      </w:pPr>
      <w:rPr>
        <w:rFonts w:ascii="Arial" w:hAnsi="Arial" w:hint="default"/>
      </w:rPr>
    </w:lvl>
    <w:lvl w:ilvl="3" w:tplc="142C4B2C" w:tentative="1">
      <w:start w:val="1"/>
      <w:numFmt w:val="bullet"/>
      <w:lvlText w:val="–"/>
      <w:lvlJc w:val="left"/>
      <w:pPr>
        <w:tabs>
          <w:tab w:val="num" w:pos="2520"/>
        </w:tabs>
        <w:ind w:left="2520" w:hanging="360"/>
      </w:pPr>
      <w:rPr>
        <w:rFonts w:ascii="Arial" w:hAnsi="Arial" w:hint="default"/>
      </w:rPr>
    </w:lvl>
    <w:lvl w:ilvl="4" w:tplc="465EE862" w:tentative="1">
      <w:start w:val="1"/>
      <w:numFmt w:val="bullet"/>
      <w:lvlText w:val="–"/>
      <w:lvlJc w:val="left"/>
      <w:pPr>
        <w:tabs>
          <w:tab w:val="num" w:pos="3240"/>
        </w:tabs>
        <w:ind w:left="3240" w:hanging="360"/>
      </w:pPr>
      <w:rPr>
        <w:rFonts w:ascii="Arial" w:hAnsi="Arial" w:hint="default"/>
      </w:rPr>
    </w:lvl>
    <w:lvl w:ilvl="5" w:tplc="B9E2AF64" w:tentative="1">
      <w:start w:val="1"/>
      <w:numFmt w:val="bullet"/>
      <w:lvlText w:val="–"/>
      <w:lvlJc w:val="left"/>
      <w:pPr>
        <w:tabs>
          <w:tab w:val="num" w:pos="3960"/>
        </w:tabs>
        <w:ind w:left="3960" w:hanging="360"/>
      </w:pPr>
      <w:rPr>
        <w:rFonts w:ascii="Arial" w:hAnsi="Arial" w:hint="default"/>
      </w:rPr>
    </w:lvl>
    <w:lvl w:ilvl="6" w:tplc="014C300A" w:tentative="1">
      <w:start w:val="1"/>
      <w:numFmt w:val="bullet"/>
      <w:lvlText w:val="–"/>
      <w:lvlJc w:val="left"/>
      <w:pPr>
        <w:tabs>
          <w:tab w:val="num" w:pos="4680"/>
        </w:tabs>
        <w:ind w:left="4680" w:hanging="360"/>
      </w:pPr>
      <w:rPr>
        <w:rFonts w:ascii="Arial" w:hAnsi="Arial" w:hint="default"/>
      </w:rPr>
    </w:lvl>
    <w:lvl w:ilvl="7" w:tplc="7DA8F4E4" w:tentative="1">
      <w:start w:val="1"/>
      <w:numFmt w:val="bullet"/>
      <w:lvlText w:val="–"/>
      <w:lvlJc w:val="left"/>
      <w:pPr>
        <w:tabs>
          <w:tab w:val="num" w:pos="5400"/>
        </w:tabs>
        <w:ind w:left="5400" w:hanging="360"/>
      </w:pPr>
      <w:rPr>
        <w:rFonts w:ascii="Arial" w:hAnsi="Arial" w:hint="default"/>
      </w:rPr>
    </w:lvl>
    <w:lvl w:ilvl="8" w:tplc="65F03C50" w:tentative="1">
      <w:start w:val="1"/>
      <w:numFmt w:val="bullet"/>
      <w:lvlText w:val="–"/>
      <w:lvlJc w:val="left"/>
      <w:pPr>
        <w:tabs>
          <w:tab w:val="num" w:pos="6120"/>
        </w:tabs>
        <w:ind w:left="6120" w:hanging="360"/>
      </w:pPr>
      <w:rPr>
        <w:rFonts w:ascii="Arial" w:hAnsi="Arial" w:hint="default"/>
      </w:rPr>
    </w:lvl>
  </w:abstractNum>
  <w:num w:numId="1" w16cid:durableId="29036550">
    <w:abstractNumId w:val="8"/>
  </w:num>
  <w:num w:numId="2" w16cid:durableId="595408002">
    <w:abstractNumId w:val="13"/>
  </w:num>
  <w:num w:numId="3" w16cid:durableId="1056664269">
    <w:abstractNumId w:val="12"/>
  </w:num>
  <w:num w:numId="4" w16cid:durableId="207375258">
    <w:abstractNumId w:val="18"/>
  </w:num>
  <w:num w:numId="5" w16cid:durableId="491222728">
    <w:abstractNumId w:val="22"/>
  </w:num>
  <w:num w:numId="6" w16cid:durableId="1757163228">
    <w:abstractNumId w:val="14"/>
  </w:num>
  <w:num w:numId="7" w16cid:durableId="128132245">
    <w:abstractNumId w:val="1"/>
  </w:num>
  <w:num w:numId="8" w16cid:durableId="642740032">
    <w:abstractNumId w:val="23"/>
  </w:num>
  <w:num w:numId="9" w16cid:durableId="566692300">
    <w:abstractNumId w:val="20"/>
  </w:num>
  <w:num w:numId="10" w16cid:durableId="1309939919">
    <w:abstractNumId w:val="17"/>
  </w:num>
  <w:num w:numId="11" w16cid:durableId="174149531">
    <w:abstractNumId w:val="0"/>
  </w:num>
  <w:num w:numId="12" w16cid:durableId="330760871">
    <w:abstractNumId w:val="9"/>
  </w:num>
  <w:num w:numId="13" w16cid:durableId="654530468">
    <w:abstractNumId w:val="21"/>
  </w:num>
  <w:num w:numId="14" w16cid:durableId="482888383">
    <w:abstractNumId w:val="25"/>
  </w:num>
  <w:num w:numId="15" w16cid:durableId="591475431">
    <w:abstractNumId w:val="2"/>
  </w:num>
  <w:num w:numId="16" w16cid:durableId="170533402">
    <w:abstractNumId w:val="6"/>
  </w:num>
  <w:num w:numId="17" w16cid:durableId="1023897682">
    <w:abstractNumId w:val="4"/>
  </w:num>
  <w:num w:numId="18" w16cid:durableId="395516407">
    <w:abstractNumId w:val="24"/>
  </w:num>
  <w:num w:numId="19" w16cid:durableId="2091928360">
    <w:abstractNumId w:val="26"/>
  </w:num>
  <w:num w:numId="20" w16cid:durableId="909970112">
    <w:abstractNumId w:val="10"/>
  </w:num>
  <w:num w:numId="21" w16cid:durableId="557015880">
    <w:abstractNumId w:val="7"/>
  </w:num>
  <w:num w:numId="22" w16cid:durableId="1180583356">
    <w:abstractNumId w:val="3"/>
  </w:num>
  <w:num w:numId="23" w16cid:durableId="437724383">
    <w:abstractNumId w:val="16"/>
  </w:num>
  <w:num w:numId="24" w16cid:durableId="46803466">
    <w:abstractNumId w:val="27"/>
  </w:num>
  <w:num w:numId="25" w16cid:durableId="699554642">
    <w:abstractNumId w:val="5"/>
  </w:num>
  <w:num w:numId="26" w16cid:durableId="1506288332">
    <w:abstractNumId w:val="11"/>
  </w:num>
  <w:num w:numId="27" w16cid:durableId="279336740">
    <w:abstractNumId w:val="15"/>
  </w:num>
  <w:num w:numId="28" w16cid:durableId="15237802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4E"/>
    <w:rsid w:val="00002FD4"/>
    <w:rsid w:val="0000689E"/>
    <w:rsid w:val="0000711B"/>
    <w:rsid w:val="00007152"/>
    <w:rsid w:val="000100F6"/>
    <w:rsid w:val="00011599"/>
    <w:rsid w:val="00015154"/>
    <w:rsid w:val="0001610C"/>
    <w:rsid w:val="0001669A"/>
    <w:rsid w:val="00023E69"/>
    <w:rsid w:val="00027047"/>
    <w:rsid w:val="00027A87"/>
    <w:rsid w:val="000323AE"/>
    <w:rsid w:val="00032489"/>
    <w:rsid w:val="00033CE1"/>
    <w:rsid w:val="00034B22"/>
    <w:rsid w:val="00034B42"/>
    <w:rsid w:val="00035370"/>
    <w:rsid w:val="0004230E"/>
    <w:rsid w:val="000425E7"/>
    <w:rsid w:val="000442BC"/>
    <w:rsid w:val="00044D02"/>
    <w:rsid w:val="00046594"/>
    <w:rsid w:val="00046840"/>
    <w:rsid w:val="0004790F"/>
    <w:rsid w:val="00047E0C"/>
    <w:rsid w:val="00052684"/>
    <w:rsid w:val="00052FEF"/>
    <w:rsid w:val="00053789"/>
    <w:rsid w:val="00054EC3"/>
    <w:rsid w:val="00060954"/>
    <w:rsid w:val="0006208C"/>
    <w:rsid w:val="000659E7"/>
    <w:rsid w:val="0007441A"/>
    <w:rsid w:val="00075BBE"/>
    <w:rsid w:val="00076B5C"/>
    <w:rsid w:val="00077BF1"/>
    <w:rsid w:val="00077E46"/>
    <w:rsid w:val="00082458"/>
    <w:rsid w:val="00082D58"/>
    <w:rsid w:val="00083153"/>
    <w:rsid w:val="00087027"/>
    <w:rsid w:val="0009119D"/>
    <w:rsid w:val="00096DC8"/>
    <w:rsid w:val="000A3F5C"/>
    <w:rsid w:val="000A4F01"/>
    <w:rsid w:val="000A60F4"/>
    <w:rsid w:val="000B5114"/>
    <w:rsid w:val="000B71AA"/>
    <w:rsid w:val="000C5905"/>
    <w:rsid w:val="000C6EF7"/>
    <w:rsid w:val="000D18D7"/>
    <w:rsid w:val="000D234E"/>
    <w:rsid w:val="000D38CF"/>
    <w:rsid w:val="000D5B09"/>
    <w:rsid w:val="000D5FD9"/>
    <w:rsid w:val="000D7BEA"/>
    <w:rsid w:val="000E3437"/>
    <w:rsid w:val="000E4DBA"/>
    <w:rsid w:val="000E5C41"/>
    <w:rsid w:val="000E68CF"/>
    <w:rsid w:val="000F28C6"/>
    <w:rsid w:val="000F3F6B"/>
    <w:rsid w:val="000F6C32"/>
    <w:rsid w:val="000F6DF5"/>
    <w:rsid w:val="00100116"/>
    <w:rsid w:val="001001AB"/>
    <w:rsid w:val="001002B1"/>
    <w:rsid w:val="00106C14"/>
    <w:rsid w:val="0011091D"/>
    <w:rsid w:val="001112ED"/>
    <w:rsid w:val="001130D4"/>
    <w:rsid w:val="00115D4C"/>
    <w:rsid w:val="001208E7"/>
    <w:rsid w:val="00120F5F"/>
    <w:rsid w:val="001220B4"/>
    <w:rsid w:val="001239B4"/>
    <w:rsid w:val="001260BE"/>
    <w:rsid w:val="00126E56"/>
    <w:rsid w:val="00126ED7"/>
    <w:rsid w:val="00127941"/>
    <w:rsid w:val="0013202D"/>
    <w:rsid w:val="00134A71"/>
    <w:rsid w:val="001406D4"/>
    <w:rsid w:val="0014346E"/>
    <w:rsid w:val="00150C37"/>
    <w:rsid w:val="00154498"/>
    <w:rsid w:val="001574C3"/>
    <w:rsid w:val="0016131A"/>
    <w:rsid w:val="0016385D"/>
    <w:rsid w:val="00164643"/>
    <w:rsid w:val="0017006C"/>
    <w:rsid w:val="00171E22"/>
    <w:rsid w:val="00173640"/>
    <w:rsid w:val="00181738"/>
    <w:rsid w:val="001823D4"/>
    <w:rsid w:val="00183FF1"/>
    <w:rsid w:val="00184793"/>
    <w:rsid w:val="001902A5"/>
    <w:rsid w:val="001910F1"/>
    <w:rsid w:val="001914E7"/>
    <w:rsid w:val="00192A6C"/>
    <w:rsid w:val="00192AF0"/>
    <w:rsid w:val="001939B4"/>
    <w:rsid w:val="00196C8D"/>
    <w:rsid w:val="001972D3"/>
    <w:rsid w:val="00197DB6"/>
    <w:rsid w:val="001A138B"/>
    <w:rsid w:val="001A2846"/>
    <w:rsid w:val="001A352F"/>
    <w:rsid w:val="001A3DE3"/>
    <w:rsid w:val="001A50CC"/>
    <w:rsid w:val="001A52A2"/>
    <w:rsid w:val="001B6B44"/>
    <w:rsid w:val="001B71D4"/>
    <w:rsid w:val="001B731F"/>
    <w:rsid w:val="001C292B"/>
    <w:rsid w:val="001C45EE"/>
    <w:rsid w:val="001C58D6"/>
    <w:rsid w:val="001C798D"/>
    <w:rsid w:val="001D0D74"/>
    <w:rsid w:val="001D1481"/>
    <w:rsid w:val="001D3452"/>
    <w:rsid w:val="001D4289"/>
    <w:rsid w:val="001E135B"/>
    <w:rsid w:val="001E14DC"/>
    <w:rsid w:val="001E5DB7"/>
    <w:rsid w:val="001F0644"/>
    <w:rsid w:val="001F0FAD"/>
    <w:rsid w:val="001F11E3"/>
    <w:rsid w:val="001F32C0"/>
    <w:rsid w:val="001F343E"/>
    <w:rsid w:val="001F3634"/>
    <w:rsid w:val="001F71E2"/>
    <w:rsid w:val="001F71F0"/>
    <w:rsid w:val="00204F1D"/>
    <w:rsid w:val="00206164"/>
    <w:rsid w:val="00212FC2"/>
    <w:rsid w:val="002144B2"/>
    <w:rsid w:val="002166A8"/>
    <w:rsid w:val="0021738A"/>
    <w:rsid w:val="00221986"/>
    <w:rsid w:val="002219D1"/>
    <w:rsid w:val="002219EB"/>
    <w:rsid w:val="0022275F"/>
    <w:rsid w:val="00224E42"/>
    <w:rsid w:val="002252BE"/>
    <w:rsid w:val="00225A68"/>
    <w:rsid w:val="002265BC"/>
    <w:rsid w:val="00230242"/>
    <w:rsid w:val="00231EA6"/>
    <w:rsid w:val="00232E61"/>
    <w:rsid w:val="002402A0"/>
    <w:rsid w:val="00240A26"/>
    <w:rsid w:val="00240AF8"/>
    <w:rsid w:val="002420B7"/>
    <w:rsid w:val="00242539"/>
    <w:rsid w:val="00245157"/>
    <w:rsid w:val="002476D4"/>
    <w:rsid w:val="00251E3A"/>
    <w:rsid w:val="00253502"/>
    <w:rsid w:val="00255E52"/>
    <w:rsid w:val="002568B3"/>
    <w:rsid w:val="00260AC1"/>
    <w:rsid w:val="00260C51"/>
    <w:rsid w:val="00261200"/>
    <w:rsid w:val="00262E7D"/>
    <w:rsid w:val="00264451"/>
    <w:rsid w:val="00267B3E"/>
    <w:rsid w:val="002807B9"/>
    <w:rsid w:val="00281D08"/>
    <w:rsid w:val="00282A51"/>
    <w:rsid w:val="00283A4D"/>
    <w:rsid w:val="0029177F"/>
    <w:rsid w:val="00293ED9"/>
    <w:rsid w:val="002972BA"/>
    <w:rsid w:val="002A0282"/>
    <w:rsid w:val="002A15FD"/>
    <w:rsid w:val="002A3598"/>
    <w:rsid w:val="002A5AE4"/>
    <w:rsid w:val="002A7928"/>
    <w:rsid w:val="002B47AE"/>
    <w:rsid w:val="002B5CE2"/>
    <w:rsid w:val="002B5DA5"/>
    <w:rsid w:val="002C6520"/>
    <w:rsid w:val="002D430B"/>
    <w:rsid w:val="002D6FA9"/>
    <w:rsid w:val="002E0A17"/>
    <w:rsid w:val="002F0010"/>
    <w:rsid w:val="002F68A5"/>
    <w:rsid w:val="002F6FE7"/>
    <w:rsid w:val="002F751C"/>
    <w:rsid w:val="002F7D13"/>
    <w:rsid w:val="00302CCF"/>
    <w:rsid w:val="0030758A"/>
    <w:rsid w:val="0031365F"/>
    <w:rsid w:val="00314B24"/>
    <w:rsid w:val="00314CD0"/>
    <w:rsid w:val="0031503E"/>
    <w:rsid w:val="00315C97"/>
    <w:rsid w:val="0032005A"/>
    <w:rsid w:val="003210AA"/>
    <w:rsid w:val="00321765"/>
    <w:rsid w:val="00327133"/>
    <w:rsid w:val="003326D7"/>
    <w:rsid w:val="00332CC1"/>
    <w:rsid w:val="00333BC6"/>
    <w:rsid w:val="003354CB"/>
    <w:rsid w:val="0034067E"/>
    <w:rsid w:val="00340949"/>
    <w:rsid w:val="00340B8B"/>
    <w:rsid w:val="00342FA6"/>
    <w:rsid w:val="003447CA"/>
    <w:rsid w:val="00344F5A"/>
    <w:rsid w:val="0034512B"/>
    <w:rsid w:val="003452BA"/>
    <w:rsid w:val="003472B8"/>
    <w:rsid w:val="00357733"/>
    <w:rsid w:val="0036112B"/>
    <w:rsid w:val="00361329"/>
    <w:rsid w:val="0036344D"/>
    <w:rsid w:val="00365A40"/>
    <w:rsid w:val="00373EDC"/>
    <w:rsid w:val="00375B97"/>
    <w:rsid w:val="00380661"/>
    <w:rsid w:val="00382675"/>
    <w:rsid w:val="00382720"/>
    <w:rsid w:val="00382865"/>
    <w:rsid w:val="00382D94"/>
    <w:rsid w:val="00383134"/>
    <w:rsid w:val="003839ED"/>
    <w:rsid w:val="00385666"/>
    <w:rsid w:val="003933BE"/>
    <w:rsid w:val="00393A05"/>
    <w:rsid w:val="00394404"/>
    <w:rsid w:val="00395B4B"/>
    <w:rsid w:val="0039704E"/>
    <w:rsid w:val="00397BD0"/>
    <w:rsid w:val="003A0543"/>
    <w:rsid w:val="003A1237"/>
    <w:rsid w:val="003A189A"/>
    <w:rsid w:val="003A329E"/>
    <w:rsid w:val="003A4251"/>
    <w:rsid w:val="003B002A"/>
    <w:rsid w:val="003B2466"/>
    <w:rsid w:val="003C255E"/>
    <w:rsid w:val="003D2433"/>
    <w:rsid w:val="003D45EC"/>
    <w:rsid w:val="003E1F2F"/>
    <w:rsid w:val="003E3A87"/>
    <w:rsid w:val="003E4270"/>
    <w:rsid w:val="003E7AC2"/>
    <w:rsid w:val="003F0E69"/>
    <w:rsid w:val="003F62EB"/>
    <w:rsid w:val="003F7E2F"/>
    <w:rsid w:val="004012AF"/>
    <w:rsid w:val="00401822"/>
    <w:rsid w:val="00403788"/>
    <w:rsid w:val="00403874"/>
    <w:rsid w:val="00404A27"/>
    <w:rsid w:val="0040520C"/>
    <w:rsid w:val="0040671B"/>
    <w:rsid w:val="00406B79"/>
    <w:rsid w:val="00406E8A"/>
    <w:rsid w:val="00411912"/>
    <w:rsid w:val="00411FDC"/>
    <w:rsid w:val="00417C86"/>
    <w:rsid w:val="004202D4"/>
    <w:rsid w:val="0042089E"/>
    <w:rsid w:val="0042451C"/>
    <w:rsid w:val="004253CB"/>
    <w:rsid w:val="004261E0"/>
    <w:rsid w:val="004269A0"/>
    <w:rsid w:val="00431543"/>
    <w:rsid w:val="00432CDA"/>
    <w:rsid w:val="00433503"/>
    <w:rsid w:val="004359A7"/>
    <w:rsid w:val="004370FB"/>
    <w:rsid w:val="004406B8"/>
    <w:rsid w:val="004471CD"/>
    <w:rsid w:val="0044779E"/>
    <w:rsid w:val="00450FE4"/>
    <w:rsid w:val="00451250"/>
    <w:rsid w:val="00451A60"/>
    <w:rsid w:val="004521D0"/>
    <w:rsid w:val="004535B7"/>
    <w:rsid w:val="00454922"/>
    <w:rsid w:val="00455485"/>
    <w:rsid w:val="00455FA7"/>
    <w:rsid w:val="00456621"/>
    <w:rsid w:val="004631FA"/>
    <w:rsid w:val="00464F48"/>
    <w:rsid w:val="004651CE"/>
    <w:rsid w:val="004669F8"/>
    <w:rsid w:val="00467B17"/>
    <w:rsid w:val="00475DA8"/>
    <w:rsid w:val="0047703F"/>
    <w:rsid w:val="0048002B"/>
    <w:rsid w:val="00482A59"/>
    <w:rsid w:val="00484DF6"/>
    <w:rsid w:val="00486E18"/>
    <w:rsid w:val="004912C2"/>
    <w:rsid w:val="00493991"/>
    <w:rsid w:val="004966A4"/>
    <w:rsid w:val="004969EE"/>
    <w:rsid w:val="0049753E"/>
    <w:rsid w:val="00497666"/>
    <w:rsid w:val="004A1660"/>
    <w:rsid w:val="004A6E44"/>
    <w:rsid w:val="004B40F9"/>
    <w:rsid w:val="004B7409"/>
    <w:rsid w:val="004C2A01"/>
    <w:rsid w:val="004C4C8D"/>
    <w:rsid w:val="004D086D"/>
    <w:rsid w:val="004D12D1"/>
    <w:rsid w:val="004D13A8"/>
    <w:rsid w:val="004D2A90"/>
    <w:rsid w:val="004D3757"/>
    <w:rsid w:val="004D4E29"/>
    <w:rsid w:val="004D56E3"/>
    <w:rsid w:val="004D6EAD"/>
    <w:rsid w:val="004E0A3E"/>
    <w:rsid w:val="004E12E2"/>
    <w:rsid w:val="004F00A6"/>
    <w:rsid w:val="004F4609"/>
    <w:rsid w:val="004F7A7B"/>
    <w:rsid w:val="00501E0D"/>
    <w:rsid w:val="00502F2A"/>
    <w:rsid w:val="0050403B"/>
    <w:rsid w:val="00511A2A"/>
    <w:rsid w:val="005120FA"/>
    <w:rsid w:val="005132EA"/>
    <w:rsid w:val="00513B8D"/>
    <w:rsid w:val="00521AF0"/>
    <w:rsid w:val="005227F1"/>
    <w:rsid w:val="00524253"/>
    <w:rsid w:val="005277EE"/>
    <w:rsid w:val="005333EF"/>
    <w:rsid w:val="0053629E"/>
    <w:rsid w:val="005448D1"/>
    <w:rsid w:val="00552A1A"/>
    <w:rsid w:val="00557329"/>
    <w:rsid w:val="0056177B"/>
    <w:rsid w:val="00563B07"/>
    <w:rsid w:val="00563E3A"/>
    <w:rsid w:val="00564F47"/>
    <w:rsid w:val="00565BDB"/>
    <w:rsid w:val="00567465"/>
    <w:rsid w:val="00571CF5"/>
    <w:rsid w:val="00574A15"/>
    <w:rsid w:val="0057529B"/>
    <w:rsid w:val="00581AED"/>
    <w:rsid w:val="00582306"/>
    <w:rsid w:val="00582FC0"/>
    <w:rsid w:val="00584CA2"/>
    <w:rsid w:val="00595206"/>
    <w:rsid w:val="00595B8E"/>
    <w:rsid w:val="00595FC4"/>
    <w:rsid w:val="00597863"/>
    <w:rsid w:val="005A17BA"/>
    <w:rsid w:val="005A32ED"/>
    <w:rsid w:val="005A4767"/>
    <w:rsid w:val="005A50E6"/>
    <w:rsid w:val="005A6C64"/>
    <w:rsid w:val="005A6CD5"/>
    <w:rsid w:val="005B0269"/>
    <w:rsid w:val="005B034E"/>
    <w:rsid w:val="005B05D6"/>
    <w:rsid w:val="005B1991"/>
    <w:rsid w:val="005B3669"/>
    <w:rsid w:val="005B374E"/>
    <w:rsid w:val="005B6303"/>
    <w:rsid w:val="005B7CB7"/>
    <w:rsid w:val="005C015B"/>
    <w:rsid w:val="005C278E"/>
    <w:rsid w:val="005C3396"/>
    <w:rsid w:val="005C6180"/>
    <w:rsid w:val="005D29F3"/>
    <w:rsid w:val="005E1655"/>
    <w:rsid w:val="005E6006"/>
    <w:rsid w:val="005F03A5"/>
    <w:rsid w:val="005F1926"/>
    <w:rsid w:val="005F3C03"/>
    <w:rsid w:val="006000D1"/>
    <w:rsid w:val="00600A0F"/>
    <w:rsid w:val="00600C99"/>
    <w:rsid w:val="00601518"/>
    <w:rsid w:val="00602398"/>
    <w:rsid w:val="00603357"/>
    <w:rsid w:val="00603585"/>
    <w:rsid w:val="0060440F"/>
    <w:rsid w:val="006045C6"/>
    <w:rsid w:val="0060796D"/>
    <w:rsid w:val="006100BB"/>
    <w:rsid w:val="00615F96"/>
    <w:rsid w:val="00620276"/>
    <w:rsid w:val="0062032B"/>
    <w:rsid w:val="00621EC4"/>
    <w:rsid w:val="00622A61"/>
    <w:rsid w:val="00625398"/>
    <w:rsid w:val="00625714"/>
    <w:rsid w:val="00626801"/>
    <w:rsid w:val="00630EB2"/>
    <w:rsid w:val="00631CB1"/>
    <w:rsid w:val="006418F3"/>
    <w:rsid w:val="00642510"/>
    <w:rsid w:val="00642866"/>
    <w:rsid w:val="00643A7A"/>
    <w:rsid w:val="006458C3"/>
    <w:rsid w:val="00646287"/>
    <w:rsid w:val="006463BA"/>
    <w:rsid w:val="00646765"/>
    <w:rsid w:val="00647A9A"/>
    <w:rsid w:val="0065151F"/>
    <w:rsid w:val="0065609D"/>
    <w:rsid w:val="00661EB5"/>
    <w:rsid w:val="00662784"/>
    <w:rsid w:val="006709B6"/>
    <w:rsid w:val="00673441"/>
    <w:rsid w:val="00673A4B"/>
    <w:rsid w:val="00675D20"/>
    <w:rsid w:val="00680056"/>
    <w:rsid w:val="0068078C"/>
    <w:rsid w:val="0068205E"/>
    <w:rsid w:val="00682185"/>
    <w:rsid w:val="00685298"/>
    <w:rsid w:val="0068584E"/>
    <w:rsid w:val="00685B8E"/>
    <w:rsid w:val="00691029"/>
    <w:rsid w:val="00691063"/>
    <w:rsid w:val="00691FDE"/>
    <w:rsid w:val="006932A4"/>
    <w:rsid w:val="006956DA"/>
    <w:rsid w:val="006A063C"/>
    <w:rsid w:val="006A1044"/>
    <w:rsid w:val="006A3A10"/>
    <w:rsid w:val="006A4653"/>
    <w:rsid w:val="006A4792"/>
    <w:rsid w:val="006A4E07"/>
    <w:rsid w:val="006B0AE4"/>
    <w:rsid w:val="006B196A"/>
    <w:rsid w:val="006B496D"/>
    <w:rsid w:val="006B7FCA"/>
    <w:rsid w:val="006C05AE"/>
    <w:rsid w:val="006C127B"/>
    <w:rsid w:val="006C2071"/>
    <w:rsid w:val="006C5134"/>
    <w:rsid w:val="006D1EA7"/>
    <w:rsid w:val="006D50E3"/>
    <w:rsid w:val="006D588C"/>
    <w:rsid w:val="006D5CF0"/>
    <w:rsid w:val="006D74E0"/>
    <w:rsid w:val="006E3603"/>
    <w:rsid w:val="006E4FCB"/>
    <w:rsid w:val="006F0767"/>
    <w:rsid w:val="006F0D65"/>
    <w:rsid w:val="006F5021"/>
    <w:rsid w:val="00704298"/>
    <w:rsid w:val="00705CF6"/>
    <w:rsid w:val="00705E4B"/>
    <w:rsid w:val="0071309D"/>
    <w:rsid w:val="0071386C"/>
    <w:rsid w:val="007146E7"/>
    <w:rsid w:val="00715ABA"/>
    <w:rsid w:val="00715F90"/>
    <w:rsid w:val="00722EDB"/>
    <w:rsid w:val="00724447"/>
    <w:rsid w:val="007245C6"/>
    <w:rsid w:val="00724F57"/>
    <w:rsid w:val="00725FDB"/>
    <w:rsid w:val="00726A92"/>
    <w:rsid w:val="007277C0"/>
    <w:rsid w:val="007359EB"/>
    <w:rsid w:val="0074057D"/>
    <w:rsid w:val="0074087D"/>
    <w:rsid w:val="00744292"/>
    <w:rsid w:val="00745556"/>
    <w:rsid w:val="00747B10"/>
    <w:rsid w:val="0075031B"/>
    <w:rsid w:val="007505B4"/>
    <w:rsid w:val="00751ED4"/>
    <w:rsid w:val="007522DF"/>
    <w:rsid w:val="00755B69"/>
    <w:rsid w:val="007579C1"/>
    <w:rsid w:val="0076039D"/>
    <w:rsid w:val="007630D8"/>
    <w:rsid w:val="0076337B"/>
    <w:rsid w:val="00764790"/>
    <w:rsid w:val="00772900"/>
    <w:rsid w:val="0077536A"/>
    <w:rsid w:val="00775ACE"/>
    <w:rsid w:val="00777721"/>
    <w:rsid w:val="0078035F"/>
    <w:rsid w:val="00780A7A"/>
    <w:rsid w:val="0078571F"/>
    <w:rsid w:val="007859E7"/>
    <w:rsid w:val="00786A7E"/>
    <w:rsid w:val="00791954"/>
    <w:rsid w:val="00792490"/>
    <w:rsid w:val="00793AA4"/>
    <w:rsid w:val="0079496C"/>
    <w:rsid w:val="007979D5"/>
    <w:rsid w:val="007A182B"/>
    <w:rsid w:val="007A4158"/>
    <w:rsid w:val="007A4D82"/>
    <w:rsid w:val="007A54D3"/>
    <w:rsid w:val="007A5771"/>
    <w:rsid w:val="007B5121"/>
    <w:rsid w:val="007B536A"/>
    <w:rsid w:val="007B5389"/>
    <w:rsid w:val="007B77D3"/>
    <w:rsid w:val="007B7E88"/>
    <w:rsid w:val="007C0F9D"/>
    <w:rsid w:val="007C4E0C"/>
    <w:rsid w:val="007D2D16"/>
    <w:rsid w:val="007D3BB2"/>
    <w:rsid w:val="007D3F4D"/>
    <w:rsid w:val="007D4217"/>
    <w:rsid w:val="007D5573"/>
    <w:rsid w:val="007D6024"/>
    <w:rsid w:val="007E1087"/>
    <w:rsid w:val="007E3D39"/>
    <w:rsid w:val="007F2501"/>
    <w:rsid w:val="007F36D4"/>
    <w:rsid w:val="007F43FD"/>
    <w:rsid w:val="007F59D2"/>
    <w:rsid w:val="007F5EBF"/>
    <w:rsid w:val="007F67FC"/>
    <w:rsid w:val="007F7BD3"/>
    <w:rsid w:val="00800BA3"/>
    <w:rsid w:val="00801A81"/>
    <w:rsid w:val="00801F12"/>
    <w:rsid w:val="00802389"/>
    <w:rsid w:val="008032D4"/>
    <w:rsid w:val="008037ED"/>
    <w:rsid w:val="00804284"/>
    <w:rsid w:val="0080560C"/>
    <w:rsid w:val="00807DA0"/>
    <w:rsid w:val="00815D2C"/>
    <w:rsid w:val="00815D8A"/>
    <w:rsid w:val="00816446"/>
    <w:rsid w:val="00816E0F"/>
    <w:rsid w:val="0082212F"/>
    <w:rsid w:val="0082248E"/>
    <w:rsid w:val="0083235C"/>
    <w:rsid w:val="008343DE"/>
    <w:rsid w:val="00834741"/>
    <w:rsid w:val="00834AD8"/>
    <w:rsid w:val="00835617"/>
    <w:rsid w:val="00836213"/>
    <w:rsid w:val="00836C7C"/>
    <w:rsid w:val="00842634"/>
    <w:rsid w:val="00843FA1"/>
    <w:rsid w:val="0084420B"/>
    <w:rsid w:val="00844B01"/>
    <w:rsid w:val="0084765A"/>
    <w:rsid w:val="008512C4"/>
    <w:rsid w:val="00851A74"/>
    <w:rsid w:val="00853E7D"/>
    <w:rsid w:val="00855192"/>
    <w:rsid w:val="0085561B"/>
    <w:rsid w:val="00857C00"/>
    <w:rsid w:val="00860E13"/>
    <w:rsid w:val="00861D2B"/>
    <w:rsid w:val="00862AF1"/>
    <w:rsid w:val="00864034"/>
    <w:rsid w:val="00864CBA"/>
    <w:rsid w:val="00866650"/>
    <w:rsid w:val="0087046F"/>
    <w:rsid w:val="008708D9"/>
    <w:rsid w:val="008749DB"/>
    <w:rsid w:val="00876204"/>
    <w:rsid w:val="008766EA"/>
    <w:rsid w:val="00880917"/>
    <w:rsid w:val="00886D65"/>
    <w:rsid w:val="0088704F"/>
    <w:rsid w:val="008871E6"/>
    <w:rsid w:val="00893858"/>
    <w:rsid w:val="00893FB2"/>
    <w:rsid w:val="00894233"/>
    <w:rsid w:val="008949CA"/>
    <w:rsid w:val="0089582B"/>
    <w:rsid w:val="008A039D"/>
    <w:rsid w:val="008A1666"/>
    <w:rsid w:val="008A225F"/>
    <w:rsid w:val="008A2DB7"/>
    <w:rsid w:val="008A65F9"/>
    <w:rsid w:val="008A7DC7"/>
    <w:rsid w:val="008B3D25"/>
    <w:rsid w:val="008B5273"/>
    <w:rsid w:val="008C14AD"/>
    <w:rsid w:val="008C6D12"/>
    <w:rsid w:val="008D3B24"/>
    <w:rsid w:val="008D7CCB"/>
    <w:rsid w:val="008E0028"/>
    <w:rsid w:val="008E11D7"/>
    <w:rsid w:val="008E21A5"/>
    <w:rsid w:val="008E7246"/>
    <w:rsid w:val="008E75C8"/>
    <w:rsid w:val="008F0222"/>
    <w:rsid w:val="008F0F01"/>
    <w:rsid w:val="008F25D8"/>
    <w:rsid w:val="008F74DA"/>
    <w:rsid w:val="008F7736"/>
    <w:rsid w:val="008F7A4B"/>
    <w:rsid w:val="008F7A82"/>
    <w:rsid w:val="0090380F"/>
    <w:rsid w:val="00911B4C"/>
    <w:rsid w:val="00913E81"/>
    <w:rsid w:val="00926D90"/>
    <w:rsid w:val="009275B2"/>
    <w:rsid w:val="0092773D"/>
    <w:rsid w:val="00931828"/>
    <w:rsid w:val="00931D91"/>
    <w:rsid w:val="009328C1"/>
    <w:rsid w:val="00940B3C"/>
    <w:rsid w:val="00942B88"/>
    <w:rsid w:val="00947089"/>
    <w:rsid w:val="00951F25"/>
    <w:rsid w:val="00953CDF"/>
    <w:rsid w:val="00955B5E"/>
    <w:rsid w:val="00960602"/>
    <w:rsid w:val="00960D61"/>
    <w:rsid w:val="009619E3"/>
    <w:rsid w:val="00962693"/>
    <w:rsid w:val="00962789"/>
    <w:rsid w:val="009650C3"/>
    <w:rsid w:val="009664D5"/>
    <w:rsid w:val="00966C52"/>
    <w:rsid w:val="00966DC6"/>
    <w:rsid w:val="00967633"/>
    <w:rsid w:val="009719C3"/>
    <w:rsid w:val="0097209F"/>
    <w:rsid w:val="00975F5D"/>
    <w:rsid w:val="00976E11"/>
    <w:rsid w:val="00982066"/>
    <w:rsid w:val="0098458E"/>
    <w:rsid w:val="0098651D"/>
    <w:rsid w:val="00986FA2"/>
    <w:rsid w:val="00987292"/>
    <w:rsid w:val="00990E20"/>
    <w:rsid w:val="0099245C"/>
    <w:rsid w:val="00992C3E"/>
    <w:rsid w:val="00995318"/>
    <w:rsid w:val="00995822"/>
    <w:rsid w:val="00996E8B"/>
    <w:rsid w:val="00997954"/>
    <w:rsid w:val="009A0D93"/>
    <w:rsid w:val="009A1ABA"/>
    <w:rsid w:val="009B4E26"/>
    <w:rsid w:val="009B5BE8"/>
    <w:rsid w:val="009B6B7F"/>
    <w:rsid w:val="009D1692"/>
    <w:rsid w:val="009D4862"/>
    <w:rsid w:val="009D4AD6"/>
    <w:rsid w:val="009D527E"/>
    <w:rsid w:val="009D7536"/>
    <w:rsid w:val="009D75A2"/>
    <w:rsid w:val="009E047E"/>
    <w:rsid w:val="009E1BEA"/>
    <w:rsid w:val="009E298D"/>
    <w:rsid w:val="009E3EF3"/>
    <w:rsid w:val="009E4A4A"/>
    <w:rsid w:val="009E5098"/>
    <w:rsid w:val="009E5E8B"/>
    <w:rsid w:val="009E6088"/>
    <w:rsid w:val="009E699C"/>
    <w:rsid w:val="009F1109"/>
    <w:rsid w:val="009F1D0E"/>
    <w:rsid w:val="009F36DB"/>
    <w:rsid w:val="009F3723"/>
    <w:rsid w:val="009F3D15"/>
    <w:rsid w:val="009F43D2"/>
    <w:rsid w:val="009F6BC3"/>
    <w:rsid w:val="00A003DA"/>
    <w:rsid w:val="00A00F4F"/>
    <w:rsid w:val="00A0194B"/>
    <w:rsid w:val="00A070B9"/>
    <w:rsid w:val="00A127A8"/>
    <w:rsid w:val="00A160DD"/>
    <w:rsid w:val="00A216D5"/>
    <w:rsid w:val="00A22A37"/>
    <w:rsid w:val="00A2399C"/>
    <w:rsid w:val="00A23DB7"/>
    <w:rsid w:val="00A30EEA"/>
    <w:rsid w:val="00A3380D"/>
    <w:rsid w:val="00A35B86"/>
    <w:rsid w:val="00A4101C"/>
    <w:rsid w:val="00A41487"/>
    <w:rsid w:val="00A41F7C"/>
    <w:rsid w:val="00A42E53"/>
    <w:rsid w:val="00A45658"/>
    <w:rsid w:val="00A54B47"/>
    <w:rsid w:val="00A55373"/>
    <w:rsid w:val="00A60AAB"/>
    <w:rsid w:val="00A61E46"/>
    <w:rsid w:val="00A63028"/>
    <w:rsid w:val="00A66C63"/>
    <w:rsid w:val="00A66EB2"/>
    <w:rsid w:val="00A7050D"/>
    <w:rsid w:val="00A708D9"/>
    <w:rsid w:val="00A71F09"/>
    <w:rsid w:val="00A720DB"/>
    <w:rsid w:val="00A72C20"/>
    <w:rsid w:val="00A74FDB"/>
    <w:rsid w:val="00A76309"/>
    <w:rsid w:val="00A777B4"/>
    <w:rsid w:val="00A80205"/>
    <w:rsid w:val="00A81E6D"/>
    <w:rsid w:val="00A85951"/>
    <w:rsid w:val="00A85EC5"/>
    <w:rsid w:val="00A86FE4"/>
    <w:rsid w:val="00A90560"/>
    <w:rsid w:val="00A90A1C"/>
    <w:rsid w:val="00A942EE"/>
    <w:rsid w:val="00A945F8"/>
    <w:rsid w:val="00A94BC9"/>
    <w:rsid w:val="00A9565E"/>
    <w:rsid w:val="00AA20E4"/>
    <w:rsid w:val="00AA553E"/>
    <w:rsid w:val="00AB03FE"/>
    <w:rsid w:val="00AB0C07"/>
    <w:rsid w:val="00AB15C1"/>
    <w:rsid w:val="00AB2051"/>
    <w:rsid w:val="00AB4ED6"/>
    <w:rsid w:val="00AB6A1B"/>
    <w:rsid w:val="00AB6DFD"/>
    <w:rsid w:val="00AC149F"/>
    <w:rsid w:val="00AC2C90"/>
    <w:rsid w:val="00AC358D"/>
    <w:rsid w:val="00AC7139"/>
    <w:rsid w:val="00AD06B8"/>
    <w:rsid w:val="00AD25B7"/>
    <w:rsid w:val="00AE0B8B"/>
    <w:rsid w:val="00AE44DC"/>
    <w:rsid w:val="00AE4771"/>
    <w:rsid w:val="00AE4D6C"/>
    <w:rsid w:val="00AE57A1"/>
    <w:rsid w:val="00AF250D"/>
    <w:rsid w:val="00AF2ED4"/>
    <w:rsid w:val="00AF3172"/>
    <w:rsid w:val="00AF4675"/>
    <w:rsid w:val="00AF581E"/>
    <w:rsid w:val="00AF7583"/>
    <w:rsid w:val="00B02E5A"/>
    <w:rsid w:val="00B0513A"/>
    <w:rsid w:val="00B12AA9"/>
    <w:rsid w:val="00B16B35"/>
    <w:rsid w:val="00B20A48"/>
    <w:rsid w:val="00B25E70"/>
    <w:rsid w:val="00B27175"/>
    <w:rsid w:val="00B30893"/>
    <w:rsid w:val="00B3196D"/>
    <w:rsid w:val="00B31A6E"/>
    <w:rsid w:val="00B33D33"/>
    <w:rsid w:val="00B3400C"/>
    <w:rsid w:val="00B36432"/>
    <w:rsid w:val="00B4131E"/>
    <w:rsid w:val="00B41880"/>
    <w:rsid w:val="00B41EE8"/>
    <w:rsid w:val="00B503BA"/>
    <w:rsid w:val="00B5462E"/>
    <w:rsid w:val="00B54738"/>
    <w:rsid w:val="00B566A9"/>
    <w:rsid w:val="00B7073C"/>
    <w:rsid w:val="00B739D0"/>
    <w:rsid w:val="00B74F9C"/>
    <w:rsid w:val="00B76931"/>
    <w:rsid w:val="00B805A6"/>
    <w:rsid w:val="00B85012"/>
    <w:rsid w:val="00B85537"/>
    <w:rsid w:val="00B877CC"/>
    <w:rsid w:val="00B87FB7"/>
    <w:rsid w:val="00B934E3"/>
    <w:rsid w:val="00BA015A"/>
    <w:rsid w:val="00BA016F"/>
    <w:rsid w:val="00BA0295"/>
    <w:rsid w:val="00BA06CA"/>
    <w:rsid w:val="00BA075F"/>
    <w:rsid w:val="00BA71BB"/>
    <w:rsid w:val="00BA7466"/>
    <w:rsid w:val="00BB189E"/>
    <w:rsid w:val="00BB1BC7"/>
    <w:rsid w:val="00BB1EDE"/>
    <w:rsid w:val="00BB47F7"/>
    <w:rsid w:val="00BB7693"/>
    <w:rsid w:val="00BB7879"/>
    <w:rsid w:val="00BC030F"/>
    <w:rsid w:val="00BC07AF"/>
    <w:rsid w:val="00BC143B"/>
    <w:rsid w:val="00BC16DA"/>
    <w:rsid w:val="00BC2EDC"/>
    <w:rsid w:val="00BC7C62"/>
    <w:rsid w:val="00BE7571"/>
    <w:rsid w:val="00BF05C5"/>
    <w:rsid w:val="00BF1FF5"/>
    <w:rsid w:val="00BF42EF"/>
    <w:rsid w:val="00BF698D"/>
    <w:rsid w:val="00C013D6"/>
    <w:rsid w:val="00C037CF"/>
    <w:rsid w:val="00C06541"/>
    <w:rsid w:val="00C103F4"/>
    <w:rsid w:val="00C1708D"/>
    <w:rsid w:val="00C17F17"/>
    <w:rsid w:val="00C2029D"/>
    <w:rsid w:val="00C2085F"/>
    <w:rsid w:val="00C21AF7"/>
    <w:rsid w:val="00C23F45"/>
    <w:rsid w:val="00C25300"/>
    <w:rsid w:val="00C3150A"/>
    <w:rsid w:val="00C33114"/>
    <w:rsid w:val="00C335FC"/>
    <w:rsid w:val="00C35863"/>
    <w:rsid w:val="00C3710F"/>
    <w:rsid w:val="00C41035"/>
    <w:rsid w:val="00C4305E"/>
    <w:rsid w:val="00C43D42"/>
    <w:rsid w:val="00C45CFF"/>
    <w:rsid w:val="00C5029A"/>
    <w:rsid w:val="00C50E84"/>
    <w:rsid w:val="00C55617"/>
    <w:rsid w:val="00C55AA7"/>
    <w:rsid w:val="00C55BAC"/>
    <w:rsid w:val="00C5661D"/>
    <w:rsid w:val="00C56916"/>
    <w:rsid w:val="00C6037C"/>
    <w:rsid w:val="00C619A5"/>
    <w:rsid w:val="00C63B3D"/>
    <w:rsid w:val="00C6507B"/>
    <w:rsid w:val="00C674B2"/>
    <w:rsid w:val="00C67B01"/>
    <w:rsid w:val="00C72B4F"/>
    <w:rsid w:val="00C8106E"/>
    <w:rsid w:val="00C858B7"/>
    <w:rsid w:val="00C905D3"/>
    <w:rsid w:val="00C90C07"/>
    <w:rsid w:val="00C916E2"/>
    <w:rsid w:val="00C92669"/>
    <w:rsid w:val="00C93571"/>
    <w:rsid w:val="00C95C8E"/>
    <w:rsid w:val="00C9757F"/>
    <w:rsid w:val="00CA0A06"/>
    <w:rsid w:val="00CA0C6A"/>
    <w:rsid w:val="00CA11D3"/>
    <w:rsid w:val="00CA6407"/>
    <w:rsid w:val="00CA71D5"/>
    <w:rsid w:val="00CB353C"/>
    <w:rsid w:val="00CB37AD"/>
    <w:rsid w:val="00CB4B61"/>
    <w:rsid w:val="00CB5376"/>
    <w:rsid w:val="00CB549A"/>
    <w:rsid w:val="00CB650A"/>
    <w:rsid w:val="00CB748B"/>
    <w:rsid w:val="00CB75E5"/>
    <w:rsid w:val="00CB7DB1"/>
    <w:rsid w:val="00CC0C2A"/>
    <w:rsid w:val="00CC2902"/>
    <w:rsid w:val="00CC32D2"/>
    <w:rsid w:val="00CC38F0"/>
    <w:rsid w:val="00CC3D1A"/>
    <w:rsid w:val="00CC6DF4"/>
    <w:rsid w:val="00CC78EE"/>
    <w:rsid w:val="00CD3708"/>
    <w:rsid w:val="00CE157F"/>
    <w:rsid w:val="00CE4B45"/>
    <w:rsid w:val="00CE5729"/>
    <w:rsid w:val="00CE6B73"/>
    <w:rsid w:val="00CF0243"/>
    <w:rsid w:val="00CF1194"/>
    <w:rsid w:val="00CF2A8E"/>
    <w:rsid w:val="00CF3BE4"/>
    <w:rsid w:val="00CF612C"/>
    <w:rsid w:val="00CF7BC4"/>
    <w:rsid w:val="00D004D1"/>
    <w:rsid w:val="00D0077A"/>
    <w:rsid w:val="00D011B7"/>
    <w:rsid w:val="00D01A6C"/>
    <w:rsid w:val="00D07FD5"/>
    <w:rsid w:val="00D100CE"/>
    <w:rsid w:val="00D114C2"/>
    <w:rsid w:val="00D145DC"/>
    <w:rsid w:val="00D20D79"/>
    <w:rsid w:val="00D2122E"/>
    <w:rsid w:val="00D23323"/>
    <w:rsid w:val="00D2377C"/>
    <w:rsid w:val="00D3177B"/>
    <w:rsid w:val="00D3291D"/>
    <w:rsid w:val="00D32976"/>
    <w:rsid w:val="00D37E40"/>
    <w:rsid w:val="00D4212E"/>
    <w:rsid w:val="00D45B87"/>
    <w:rsid w:val="00D46ABA"/>
    <w:rsid w:val="00D51C5E"/>
    <w:rsid w:val="00D543E8"/>
    <w:rsid w:val="00D55ED1"/>
    <w:rsid w:val="00D60E89"/>
    <w:rsid w:val="00D62FB5"/>
    <w:rsid w:val="00D63B09"/>
    <w:rsid w:val="00D63D89"/>
    <w:rsid w:val="00D6516A"/>
    <w:rsid w:val="00D66293"/>
    <w:rsid w:val="00D666A1"/>
    <w:rsid w:val="00D7202F"/>
    <w:rsid w:val="00D73F6A"/>
    <w:rsid w:val="00D74402"/>
    <w:rsid w:val="00D74D0A"/>
    <w:rsid w:val="00D768A2"/>
    <w:rsid w:val="00D7791E"/>
    <w:rsid w:val="00D82496"/>
    <w:rsid w:val="00D82EB6"/>
    <w:rsid w:val="00D8389F"/>
    <w:rsid w:val="00D85B50"/>
    <w:rsid w:val="00D92CAC"/>
    <w:rsid w:val="00D92FED"/>
    <w:rsid w:val="00D93F54"/>
    <w:rsid w:val="00D9540F"/>
    <w:rsid w:val="00DA060D"/>
    <w:rsid w:val="00DA3B89"/>
    <w:rsid w:val="00DA4C46"/>
    <w:rsid w:val="00DB0683"/>
    <w:rsid w:val="00DB214D"/>
    <w:rsid w:val="00DB46C9"/>
    <w:rsid w:val="00DB5CF0"/>
    <w:rsid w:val="00DC2D0D"/>
    <w:rsid w:val="00DC5357"/>
    <w:rsid w:val="00DC7CBE"/>
    <w:rsid w:val="00DD46DB"/>
    <w:rsid w:val="00DD72C6"/>
    <w:rsid w:val="00DE116A"/>
    <w:rsid w:val="00DE3F7A"/>
    <w:rsid w:val="00DE5131"/>
    <w:rsid w:val="00DF5814"/>
    <w:rsid w:val="00E05EE4"/>
    <w:rsid w:val="00E05F5A"/>
    <w:rsid w:val="00E06171"/>
    <w:rsid w:val="00E07BB8"/>
    <w:rsid w:val="00E10D2F"/>
    <w:rsid w:val="00E13716"/>
    <w:rsid w:val="00E206E2"/>
    <w:rsid w:val="00E23EFC"/>
    <w:rsid w:val="00E25BA1"/>
    <w:rsid w:val="00E279D6"/>
    <w:rsid w:val="00E27D26"/>
    <w:rsid w:val="00E30837"/>
    <w:rsid w:val="00E310AD"/>
    <w:rsid w:val="00E33510"/>
    <w:rsid w:val="00E33D9D"/>
    <w:rsid w:val="00E34197"/>
    <w:rsid w:val="00E35552"/>
    <w:rsid w:val="00E36DAF"/>
    <w:rsid w:val="00E435C3"/>
    <w:rsid w:val="00E44879"/>
    <w:rsid w:val="00E45EEE"/>
    <w:rsid w:val="00E46D44"/>
    <w:rsid w:val="00E50322"/>
    <w:rsid w:val="00E51470"/>
    <w:rsid w:val="00E51A50"/>
    <w:rsid w:val="00E54A95"/>
    <w:rsid w:val="00E54BE4"/>
    <w:rsid w:val="00E567FD"/>
    <w:rsid w:val="00E607A3"/>
    <w:rsid w:val="00E631F8"/>
    <w:rsid w:val="00E670E7"/>
    <w:rsid w:val="00E7434E"/>
    <w:rsid w:val="00E80167"/>
    <w:rsid w:val="00E82EFA"/>
    <w:rsid w:val="00E877E5"/>
    <w:rsid w:val="00E91743"/>
    <w:rsid w:val="00E9497C"/>
    <w:rsid w:val="00E95C12"/>
    <w:rsid w:val="00EA21F1"/>
    <w:rsid w:val="00EA3145"/>
    <w:rsid w:val="00EA322B"/>
    <w:rsid w:val="00EA35AF"/>
    <w:rsid w:val="00EA652D"/>
    <w:rsid w:val="00EB3C72"/>
    <w:rsid w:val="00EB42AA"/>
    <w:rsid w:val="00EB4748"/>
    <w:rsid w:val="00EB49CF"/>
    <w:rsid w:val="00EB6D1D"/>
    <w:rsid w:val="00EB782F"/>
    <w:rsid w:val="00EC5C26"/>
    <w:rsid w:val="00EC7A33"/>
    <w:rsid w:val="00ED3521"/>
    <w:rsid w:val="00ED69DA"/>
    <w:rsid w:val="00ED7194"/>
    <w:rsid w:val="00EE3131"/>
    <w:rsid w:val="00EE5C51"/>
    <w:rsid w:val="00EE63CD"/>
    <w:rsid w:val="00EE693F"/>
    <w:rsid w:val="00EF00CD"/>
    <w:rsid w:val="00EF1367"/>
    <w:rsid w:val="00EF1F76"/>
    <w:rsid w:val="00EF2938"/>
    <w:rsid w:val="00EF3D55"/>
    <w:rsid w:val="00EF5273"/>
    <w:rsid w:val="00F00235"/>
    <w:rsid w:val="00F019B5"/>
    <w:rsid w:val="00F0258A"/>
    <w:rsid w:val="00F03FF0"/>
    <w:rsid w:val="00F04224"/>
    <w:rsid w:val="00F05ED6"/>
    <w:rsid w:val="00F0609B"/>
    <w:rsid w:val="00F06BE5"/>
    <w:rsid w:val="00F11A86"/>
    <w:rsid w:val="00F14E3D"/>
    <w:rsid w:val="00F157F3"/>
    <w:rsid w:val="00F17930"/>
    <w:rsid w:val="00F208DC"/>
    <w:rsid w:val="00F25BEE"/>
    <w:rsid w:val="00F412BF"/>
    <w:rsid w:val="00F4189D"/>
    <w:rsid w:val="00F445BC"/>
    <w:rsid w:val="00F446BE"/>
    <w:rsid w:val="00F451E3"/>
    <w:rsid w:val="00F46CA9"/>
    <w:rsid w:val="00F47383"/>
    <w:rsid w:val="00F51778"/>
    <w:rsid w:val="00F51F8B"/>
    <w:rsid w:val="00F52B11"/>
    <w:rsid w:val="00F5449F"/>
    <w:rsid w:val="00F57037"/>
    <w:rsid w:val="00F60C55"/>
    <w:rsid w:val="00F6209F"/>
    <w:rsid w:val="00F63131"/>
    <w:rsid w:val="00F64E2C"/>
    <w:rsid w:val="00F65DA2"/>
    <w:rsid w:val="00F66716"/>
    <w:rsid w:val="00F7060D"/>
    <w:rsid w:val="00F80C9E"/>
    <w:rsid w:val="00F83ABF"/>
    <w:rsid w:val="00F856C6"/>
    <w:rsid w:val="00F87E75"/>
    <w:rsid w:val="00F93F6D"/>
    <w:rsid w:val="00F94C9D"/>
    <w:rsid w:val="00F95550"/>
    <w:rsid w:val="00F97556"/>
    <w:rsid w:val="00F97E84"/>
    <w:rsid w:val="00FA408C"/>
    <w:rsid w:val="00FA408D"/>
    <w:rsid w:val="00FA4457"/>
    <w:rsid w:val="00FA592D"/>
    <w:rsid w:val="00FA6D71"/>
    <w:rsid w:val="00FA6DF8"/>
    <w:rsid w:val="00FB2276"/>
    <w:rsid w:val="00FB2B8D"/>
    <w:rsid w:val="00FB2E9A"/>
    <w:rsid w:val="00FB661A"/>
    <w:rsid w:val="00FB7300"/>
    <w:rsid w:val="00FC2E98"/>
    <w:rsid w:val="00FC39ED"/>
    <w:rsid w:val="00FC6B8C"/>
    <w:rsid w:val="00FC7010"/>
    <w:rsid w:val="00FC771F"/>
    <w:rsid w:val="00FD7362"/>
    <w:rsid w:val="00FD7F39"/>
    <w:rsid w:val="00FE384A"/>
    <w:rsid w:val="00FF160C"/>
    <w:rsid w:val="00FF1742"/>
    <w:rsid w:val="00FF4489"/>
    <w:rsid w:val="00FF475B"/>
    <w:rsid w:val="00FF4D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B4CC6"/>
  <w15:docId w15:val="{D430F818-3D38-4C3D-A844-0A16C629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A22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970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7060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171E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9704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7060D"/>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F7060D"/>
    <w:pPr>
      <w:ind w:left="720"/>
      <w:contextualSpacing/>
    </w:pPr>
  </w:style>
  <w:style w:type="paragraph" w:styleId="Textodebalo">
    <w:name w:val="Balloon Text"/>
    <w:basedOn w:val="Normal"/>
    <w:link w:val="TextodebaloChar"/>
    <w:uiPriority w:val="99"/>
    <w:semiHidden/>
    <w:unhideWhenUsed/>
    <w:rsid w:val="009F43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43D2"/>
    <w:rPr>
      <w:rFonts w:ascii="Tahoma" w:hAnsi="Tahoma" w:cs="Tahoma"/>
      <w:sz w:val="16"/>
      <w:szCs w:val="16"/>
    </w:rPr>
  </w:style>
  <w:style w:type="paragraph" w:styleId="Textodenotaderodap">
    <w:name w:val="footnote text"/>
    <w:basedOn w:val="Normal"/>
    <w:link w:val="TextodenotaderodapChar"/>
    <w:semiHidden/>
    <w:unhideWhenUsed/>
    <w:rsid w:val="00F51F8B"/>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F51F8B"/>
    <w:rPr>
      <w:sz w:val="20"/>
      <w:szCs w:val="20"/>
    </w:rPr>
  </w:style>
  <w:style w:type="character" w:styleId="Refdenotaderodap">
    <w:name w:val="footnote reference"/>
    <w:basedOn w:val="Fontepargpadro"/>
    <w:semiHidden/>
    <w:unhideWhenUsed/>
    <w:rsid w:val="00F51F8B"/>
    <w:rPr>
      <w:vertAlign w:val="superscript"/>
    </w:rPr>
  </w:style>
  <w:style w:type="paragraph" w:styleId="Cabealho">
    <w:name w:val="header"/>
    <w:basedOn w:val="Normal"/>
    <w:link w:val="CabealhoChar"/>
    <w:uiPriority w:val="99"/>
    <w:unhideWhenUsed/>
    <w:rsid w:val="00171E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1E22"/>
  </w:style>
  <w:style w:type="paragraph" w:styleId="Rodap">
    <w:name w:val="footer"/>
    <w:basedOn w:val="Normal"/>
    <w:link w:val="RodapChar"/>
    <w:uiPriority w:val="99"/>
    <w:unhideWhenUsed/>
    <w:rsid w:val="00171E22"/>
    <w:pPr>
      <w:tabs>
        <w:tab w:val="center" w:pos="4252"/>
        <w:tab w:val="right" w:pos="8504"/>
      </w:tabs>
      <w:spacing w:after="0" w:line="240" w:lineRule="auto"/>
    </w:pPr>
  </w:style>
  <w:style w:type="character" w:customStyle="1" w:styleId="RodapChar">
    <w:name w:val="Rodapé Char"/>
    <w:basedOn w:val="Fontepargpadro"/>
    <w:link w:val="Rodap"/>
    <w:uiPriority w:val="99"/>
    <w:rsid w:val="00171E22"/>
  </w:style>
  <w:style w:type="character" w:customStyle="1" w:styleId="Ttulo4Char">
    <w:name w:val="Título 4 Char"/>
    <w:basedOn w:val="Fontepargpadro"/>
    <w:link w:val="Ttulo4"/>
    <w:rsid w:val="00171E22"/>
    <w:rPr>
      <w:rFonts w:asciiTheme="majorHAnsi" w:eastAsiaTheme="majorEastAsia" w:hAnsiTheme="majorHAnsi" w:cstheme="majorBidi"/>
      <w:b/>
      <w:bCs/>
      <w:i/>
      <w:iCs/>
      <w:color w:val="4F81BD" w:themeColor="accent1"/>
    </w:rPr>
  </w:style>
  <w:style w:type="character" w:customStyle="1" w:styleId="apple-converted-space">
    <w:name w:val="apple-converted-space"/>
    <w:basedOn w:val="Fontepargpadro"/>
    <w:rsid w:val="00171E22"/>
  </w:style>
  <w:style w:type="character" w:styleId="Hyperlink">
    <w:name w:val="Hyperlink"/>
    <w:basedOn w:val="Fontepargpadro"/>
    <w:uiPriority w:val="99"/>
    <w:unhideWhenUsed/>
    <w:rsid w:val="00171E22"/>
    <w:rPr>
      <w:color w:val="0000FF"/>
      <w:u w:val="single"/>
    </w:rPr>
  </w:style>
  <w:style w:type="character" w:customStyle="1" w:styleId="Ttulo1Char">
    <w:name w:val="Título 1 Char"/>
    <w:basedOn w:val="Fontepargpadro"/>
    <w:link w:val="Ttulo1"/>
    <w:uiPriority w:val="9"/>
    <w:rsid w:val="008A225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E567FD"/>
    <w:pPr>
      <w:outlineLvl w:val="9"/>
    </w:pPr>
    <w:rPr>
      <w:lang w:eastAsia="pt-BR"/>
    </w:rPr>
  </w:style>
  <w:style w:type="paragraph" w:styleId="Sumrio2">
    <w:name w:val="toc 2"/>
    <w:basedOn w:val="Normal"/>
    <w:next w:val="Normal"/>
    <w:autoRedefine/>
    <w:uiPriority w:val="39"/>
    <w:unhideWhenUsed/>
    <w:rsid w:val="00E567FD"/>
    <w:pPr>
      <w:spacing w:after="100"/>
      <w:ind w:left="220"/>
    </w:pPr>
  </w:style>
  <w:style w:type="paragraph" w:styleId="Sumrio1">
    <w:name w:val="toc 1"/>
    <w:basedOn w:val="Normal"/>
    <w:next w:val="Normal"/>
    <w:autoRedefine/>
    <w:uiPriority w:val="39"/>
    <w:unhideWhenUsed/>
    <w:rsid w:val="00EF00CD"/>
    <w:pPr>
      <w:tabs>
        <w:tab w:val="left" w:pos="480"/>
        <w:tab w:val="right" w:leader="dot" w:pos="8494"/>
      </w:tabs>
      <w:spacing w:after="100"/>
    </w:pPr>
  </w:style>
  <w:style w:type="table" w:styleId="Tabelacomgrade">
    <w:name w:val="Table Grid"/>
    <w:basedOn w:val="Tabelanormal"/>
    <w:uiPriority w:val="59"/>
    <w:rsid w:val="00E3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2EDB"/>
    <w:pPr>
      <w:spacing w:before="100" w:beforeAutospacing="1" w:after="100" w:afterAutospacing="1" w:line="240" w:lineRule="auto"/>
    </w:pPr>
    <w:rPr>
      <w:rFonts w:ascii="Times New Roman" w:hAnsi="Times New Roman" w:cs="Times New Roman"/>
      <w:sz w:val="24"/>
      <w:szCs w:val="24"/>
      <w:lang w:eastAsia="pt-BR"/>
    </w:rPr>
  </w:style>
  <w:style w:type="paragraph" w:customStyle="1" w:styleId="titlegis">
    <w:name w:val="tit_legis"/>
    <w:basedOn w:val="Normal"/>
    <w:uiPriority w:val="99"/>
    <w:semiHidden/>
    <w:rsid w:val="00722EDB"/>
    <w:pPr>
      <w:spacing w:before="100" w:beforeAutospacing="1" w:after="100" w:afterAutospacing="1" w:line="240" w:lineRule="auto"/>
    </w:pPr>
    <w:rPr>
      <w:rFonts w:ascii="Times New Roman" w:hAnsi="Times New Roman" w:cs="Times New Roman"/>
      <w:sz w:val="24"/>
      <w:szCs w:val="24"/>
      <w:lang w:eastAsia="pt-BR"/>
    </w:rPr>
  </w:style>
  <w:style w:type="paragraph" w:customStyle="1" w:styleId="centro">
    <w:name w:val="centro"/>
    <w:basedOn w:val="Normal"/>
    <w:uiPriority w:val="99"/>
    <w:semiHidden/>
    <w:rsid w:val="00722EDB"/>
    <w:pPr>
      <w:spacing w:before="100" w:beforeAutospacing="1" w:after="100" w:afterAutospacing="1" w:line="240" w:lineRule="auto"/>
    </w:pPr>
    <w:rPr>
      <w:rFonts w:ascii="Times New Roman" w:hAnsi="Times New Roman" w:cs="Times New Roman"/>
      <w:sz w:val="24"/>
      <w:szCs w:val="24"/>
      <w:lang w:eastAsia="pt-BR"/>
    </w:rPr>
  </w:style>
  <w:style w:type="paragraph" w:customStyle="1" w:styleId="centroitalico">
    <w:name w:val="centro_italico"/>
    <w:basedOn w:val="Normal"/>
    <w:uiPriority w:val="99"/>
    <w:semiHidden/>
    <w:rsid w:val="00722EDB"/>
    <w:pPr>
      <w:spacing w:before="100" w:beforeAutospacing="1" w:after="100" w:afterAutospacing="1" w:line="240" w:lineRule="auto"/>
    </w:pPr>
    <w:rPr>
      <w:rFonts w:ascii="Times New Roman" w:hAnsi="Times New Roman" w:cs="Times New Roman"/>
      <w:sz w:val="24"/>
      <w:szCs w:val="24"/>
      <w:lang w:eastAsia="pt-BR"/>
    </w:rPr>
  </w:style>
  <w:style w:type="character" w:styleId="MenoPendente">
    <w:name w:val="Unresolved Mention"/>
    <w:basedOn w:val="Fontepargpadro"/>
    <w:uiPriority w:val="99"/>
    <w:semiHidden/>
    <w:unhideWhenUsed/>
    <w:rsid w:val="00A86FE4"/>
    <w:rPr>
      <w:color w:val="605E5C"/>
      <w:shd w:val="clear" w:color="auto" w:fill="E1DFDD"/>
    </w:rPr>
  </w:style>
  <w:style w:type="character" w:styleId="Refdecomentrio">
    <w:name w:val="annotation reference"/>
    <w:basedOn w:val="Fontepargpadro"/>
    <w:uiPriority w:val="99"/>
    <w:semiHidden/>
    <w:unhideWhenUsed/>
    <w:rsid w:val="00511A2A"/>
    <w:rPr>
      <w:sz w:val="16"/>
      <w:szCs w:val="16"/>
    </w:rPr>
  </w:style>
  <w:style w:type="paragraph" w:styleId="Textodecomentrio">
    <w:name w:val="annotation text"/>
    <w:basedOn w:val="Normal"/>
    <w:link w:val="TextodecomentrioChar"/>
    <w:uiPriority w:val="99"/>
    <w:unhideWhenUsed/>
    <w:rsid w:val="00511A2A"/>
    <w:pPr>
      <w:spacing w:line="240" w:lineRule="auto"/>
    </w:pPr>
    <w:rPr>
      <w:sz w:val="20"/>
      <w:szCs w:val="20"/>
    </w:rPr>
  </w:style>
  <w:style w:type="character" w:customStyle="1" w:styleId="TextodecomentrioChar">
    <w:name w:val="Texto de comentário Char"/>
    <w:basedOn w:val="Fontepargpadro"/>
    <w:link w:val="Textodecomentrio"/>
    <w:uiPriority w:val="99"/>
    <w:rsid w:val="00511A2A"/>
    <w:rPr>
      <w:sz w:val="20"/>
      <w:szCs w:val="20"/>
    </w:rPr>
  </w:style>
  <w:style w:type="paragraph" w:styleId="Assuntodocomentrio">
    <w:name w:val="annotation subject"/>
    <w:basedOn w:val="Textodecomentrio"/>
    <w:next w:val="Textodecomentrio"/>
    <w:link w:val="AssuntodocomentrioChar"/>
    <w:uiPriority w:val="99"/>
    <w:semiHidden/>
    <w:unhideWhenUsed/>
    <w:rsid w:val="00511A2A"/>
    <w:rPr>
      <w:b/>
      <w:bCs/>
    </w:rPr>
  </w:style>
  <w:style w:type="character" w:customStyle="1" w:styleId="AssuntodocomentrioChar">
    <w:name w:val="Assunto do comentário Char"/>
    <w:basedOn w:val="TextodecomentrioChar"/>
    <w:link w:val="Assuntodocomentrio"/>
    <w:uiPriority w:val="99"/>
    <w:semiHidden/>
    <w:rsid w:val="00511A2A"/>
    <w:rPr>
      <w:b/>
      <w:bCs/>
      <w:sz w:val="20"/>
      <w:szCs w:val="20"/>
    </w:rPr>
  </w:style>
  <w:style w:type="paragraph" w:customStyle="1" w:styleId="Default">
    <w:name w:val="Default"/>
    <w:rsid w:val="0040671B"/>
    <w:pPr>
      <w:autoSpaceDE w:val="0"/>
      <w:autoSpaceDN w:val="0"/>
      <w:adjustRightInd w:val="0"/>
      <w:spacing w:after="0" w:line="240" w:lineRule="auto"/>
    </w:pPr>
    <w:rPr>
      <w:rFonts w:ascii="Verdana" w:hAnsi="Verdana" w:cs="Verdana"/>
      <w:color w:val="000000"/>
      <w:sz w:val="24"/>
      <w:szCs w:val="24"/>
    </w:rPr>
  </w:style>
  <w:style w:type="character" w:styleId="TextodoEspaoReservado">
    <w:name w:val="Placeholder Text"/>
    <w:basedOn w:val="Fontepargpadro"/>
    <w:uiPriority w:val="99"/>
    <w:semiHidden/>
    <w:rsid w:val="00EE693F"/>
    <w:rPr>
      <w:color w:val="808080"/>
    </w:rPr>
  </w:style>
  <w:style w:type="paragraph" w:styleId="Reviso">
    <w:name w:val="Revision"/>
    <w:hidden/>
    <w:uiPriority w:val="99"/>
    <w:semiHidden/>
    <w:rsid w:val="00D60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846">
      <w:bodyDiv w:val="1"/>
      <w:marLeft w:val="0"/>
      <w:marRight w:val="0"/>
      <w:marTop w:val="0"/>
      <w:marBottom w:val="0"/>
      <w:divBdr>
        <w:top w:val="none" w:sz="0" w:space="0" w:color="auto"/>
        <w:left w:val="none" w:sz="0" w:space="0" w:color="auto"/>
        <w:bottom w:val="none" w:sz="0" w:space="0" w:color="auto"/>
        <w:right w:val="none" w:sz="0" w:space="0" w:color="auto"/>
      </w:divBdr>
    </w:div>
    <w:div w:id="61759990">
      <w:bodyDiv w:val="1"/>
      <w:marLeft w:val="0"/>
      <w:marRight w:val="0"/>
      <w:marTop w:val="0"/>
      <w:marBottom w:val="0"/>
      <w:divBdr>
        <w:top w:val="none" w:sz="0" w:space="0" w:color="auto"/>
        <w:left w:val="none" w:sz="0" w:space="0" w:color="auto"/>
        <w:bottom w:val="none" w:sz="0" w:space="0" w:color="auto"/>
        <w:right w:val="none" w:sz="0" w:space="0" w:color="auto"/>
      </w:divBdr>
    </w:div>
    <w:div w:id="154421027">
      <w:marLeft w:val="0"/>
      <w:marRight w:val="0"/>
      <w:marTop w:val="0"/>
      <w:marBottom w:val="0"/>
      <w:divBdr>
        <w:top w:val="none" w:sz="0" w:space="0" w:color="auto"/>
        <w:left w:val="none" w:sz="0" w:space="0" w:color="auto"/>
        <w:bottom w:val="none" w:sz="0" w:space="0" w:color="auto"/>
        <w:right w:val="none" w:sz="0" w:space="0" w:color="auto"/>
      </w:divBdr>
      <w:divsChild>
        <w:div w:id="1350253866">
          <w:marLeft w:val="0"/>
          <w:marRight w:val="0"/>
          <w:marTop w:val="0"/>
          <w:marBottom w:val="0"/>
          <w:divBdr>
            <w:top w:val="none" w:sz="0" w:space="0" w:color="auto"/>
            <w:left w:val="none" w:sz="0" w:space="0" w:color="auto"/>
            <w:bottom w:val="none" w:sz="0" w:space="0" w:color="auto"/>
            <w:right w:val="none" w:sz="0" w:space="0" w:color="auto"/>
          </w:divBdr>
        </w:div>
      </w:divsChild>
    </w:div>
    <w:div w:id="336428353">
      <w:marLeft w:val="0"/>
      <w:marRight w:val="0"/>
      <w:marTop w:val="0"/>
      <w:marBottom w:val="0"/>
      <w:divBdr>
        <w:top w:val="none" w:sz="0" w:space="0" w:color="auto"/>
        <w:left w:val="none" w:sz="0" w:space="0" w:color="auto"/>
        <w:bottom w:val="none" w:sz="0" w:space="0" w:color="auto"/>
        <w:right w:val="none" w:sz="0" w:space="0" w:color="auto"/>
      </w:divBdr>
      <w:divsChild>
        <w:div w:id="1759059527">
          <w:marLeft w:val="0"/>
          <w:marRight w:val="0"/>
          <w:marTop w:val="0"/>
          <w:marBottom w:val="0"/>
          <w:divBdr>
            <w:top w:val="none" w:sz="0" w:space="0" w:color="auto"/>
            <w:left w:val="none" w:sz="0" w:space="0" w:color="auto"/>
            <w:bottom w:val="none" w:sz="0" w:space="0" w:color="auto"/>
            <w:right w:val="none" w:sz="0" w:space="0" w:color="auto"/>
          </w:divBdr>
        </w:div>
      </w:divsChild>
    </w:div>
    <w:div w:id="378475617">
      <w:marLeft w:val="0"/>
      <w:marRight w:val="0"/>
      <w:marTop w:val="0"/>
      <w:marBottom w:val="0"/>
      <w:divBdr>
        <w:top w:val="none" w:sz="0" w:space="0" w:color="auto"/>
        <w:left w:val="none" w:sz="0" w:space="0" w:color="auto"/>
        <w:bottom w:val="none" w:sz="0" w:space="0" w:color="auto"/>
        <w:right w:val="none" w:sz="0" w:space="0" w:color="auto"/>
      </w:divBdr>
      <w:divsChild>
        <w:div w:id="683438232">
          <w:marLeft w:val="0"/>
          <w:marRight w:val="0"/>
          <w:marTop w:val="0"/>
          <w:marBottom w:val="0"/>
          <w:divBdr>
            <w:top w:val="none" w:sz="0" w:space="0" w:color="auto"/>
            <w:left w:val="none" w:sz="0" w:space="0" w:color="auto"/>
            <w:bottom w:val="none" w:sz="0" w:space="0" w:color="auto"/>
            <w:right w:val="none" w:sz="0" w:space="0" w:color="auto"/>
          </w:divBdr>
        </w:div>
      </w:divsChild>
    </w:div>
    <w:div w:id="495194753">
      <w:bodyDiv w:val="1"/>
      <w:marLeft w:val="0"/>
      <w:marRight w:val="0"/>
      <w:marTop w:val="0"/>
      <w:marBottom w:val="0"/>
      <w:divBdr>
        <w:top w:val="none" w:sz="0" w:space="0" w:color="auto"/>
        <w:left w:val="none" w:sz="0" w:space="0" w:color="auto"/>
        <w:bottom w:val="none" w:sz="0" w:space="0" w:color="auto"/>
        <w:right w:val="none" w:sz="0" w:space="0" w:color="auto"/>
      </w:divBdr>
    </w:div>
    <w:div w:id="512573782">
      <w:marLeft w:val="0"/>
      <w:marRight w:val="0"/>
      <w:marTop w:val="0"/>
      <w:marBottom w:val="0"/>
      <w:divBdr>
        <w:top w:val="none" w:sz="0" w:space="0" w:color="auto"/>
        <w:left w:val="none" w:sz="0" w:space="0" w:color="auto"/>
        <w:bottom w:val="none" w:sz="0" w:space="0" w:color="auto"/>
        <w:right w:val="none" w:sz="0" w:space="0" w:color="auto"/>
      </w:divBdr>
      <w:divsChild>
        <w:div w:id="1684018362">
          <w:marLeft w:val="0"/>
          <w:marRight w:val="0"/>
          <w:marTop w:val="0"/>
          <w:marBottom w:val="0"/>
          <w:divBdr>
            <w:top w:val="none" w:sz="0" w:space="0" w:color="auto"/>
            <w:left w:val="none" w:sz="0" w:space="0" w:color="auto"/>
            <w:bottom w:val="none" w:sz="0" w:space="0" w:color="auto"/>
            <w:right w:val="none" w:sz="0" w:space="0" w:color="auto"/>
          </w:divBdr>
        </w:div>
      </w:divsChild>
    </w:div>
    <w:div w:id="531915276">
      <w:bodyDiv w:val="1"/>
      <w:marLeft w:val="0"/>
      <w:marRight w:val="0"/>
      <w:marTop w:val="0"/>
      <w:marBottom w:val="0"/>
      <w:divBdr>
        <w:top w:val="none" w:sz="0" w:space="0" w:color="auto"/>
        <w:left w:val="none" w:sz="0" w:space="0" w:color="auto"/>
        <w:bottom w:val="none" w:sz="0" w:space="0" w:color="auto"/>
        <w:right w:val="none" w:sz="0" w:space="0" w:color="auto"/>
      </w:divBdr>
    </w:div>
    <w:div w:id="569585956">
      <w:bodyDiv w:val="1"/>
      <w:marLeft w:val="0"/>
      <w:marRight w:val="0"/>
      <w:marTop w:val="0"/>
      <w:marBottom w:val="0"/>
      <w:divBdr>
        <w:top w:val="none" w:sz="0" w:space="0" w:color="auto"/>
        <w:left w:val="none" w:sz="0" w:space="0" w:color="auto"/>
        <w:bottom w:val="none" w:sz="0" w:space="0" w:color="auto"/>
        <w:right w:val="none" w:sz="0" w:space="0" w:color="auto"/>
      </w:divBdr>
    </w:div>
    <w:div w:id="589853245">
      <w:marLeft w:val="0"/>
      <w:marRight w:val="0"/>
      <w:marTop w:val="0"/>
      <w:marBottom w:val="0"/>
      <w:divBdr>
        <w:top w:val="none" w:sz="0" w:space="0" w:color="auto"/>
        <w:left w:val="none" w:sz="0" w:space="0" w:color="auto"/>
        <w:bottom w:val="none" w:sz="0" w:space="0" w:color="auto"/>
        <w:right w:val="none" w:sz="0" w:space="0" w:color="auto"/>
      </w:divBdr>
      <w:divsChild>
        <w:div w:id="35283002">
          <w:marLeft w:val="0"/>
          <w:marRight w:val="0"/>
          <w:marTop w:val="0"/>
          <w:marBottom w:val="0"/>
          <w:divBdr>
            <w:top w:val="none" w:sz="0" w:space="0" w:color="auto"/>
            <w:left w:val="none" w:sz="0" w:space="0" w:color="auto"/>
            <w:bottom w:val="none" w:sz="0" w:space="0" w:color="auto"/>
            <w:right w:val="none" w:sz="0" w:space="0" w:color="auto"/>
          </w:divBdr>
        </w:div>
      </w:divsChild>
    </w:div>
    <w:div w:id="626816789">
      <w:bodyDiv w:val="1"/>
      <w:marLeft w:val="0"/>
      <w:marRight w:val="0"/>
      <w:marTop w:val="0"/>
      <w:marBottom w:val="0"/>
      <w:divBdr>
        <w:top w:val="none" w:sz="0" w:space="0" w:color="auto"/>
        <w:left w:val="none" w:sz="0" w:space="0" w:color="auto"/>
        <w:bottom w:val="none" w:sz="0" w:space="0" w:color="auto"/>
        <w:right w:val="none" w:sz="0" w:space="0" w:color="auto"/>
      </w:divBdr>
    </w:div>
    <w:div w:id="677005408">
      <w:marLeft w:val="0"/>
      <w:marRight w:val="0"/>
      <w:marTop w:val="0"/>
      <w:marBottom w:val="0"/>
      <w:divBdr>
        <w:top w:val="none" w:sz="0" w:space="0" w:color="auto"/>
        <w:left w:val="none" w:sz="0" w:space="0" w:color="auto"/>
        <w:bottom w:val="none" w:sz="0" w:space="0" w:color="auto"/>
        <w:right w:val="none" w:sz="0" w:space="0" w:color="auto"/>
      </w:divBdr>
      <w:divsChild>
        <w:div w:id="1275019293">
          <w:marLeft w:val="0"/>
          <w:marRight w:val="0"/>
          <w:marTop w:val="0"/>
          <w:marBottom w:val="0"/>
          <w:divBdr>
            <w:top w:val="none" w:sz="0" w:space="0" w:color="auto"/>
            <w:left w:val="none" w:sz="0" w:space="0" w:color="auto"/>
            <w:bottom w:val="none" w:sz="0" w:space="0" w:color="auto"/>
            <w:right w:val="none" w:sz="0" w:space="0" w:color="auto"/>
          </w:divBdr>
        </w:div>
      </w:divsChild>
    </w:div>
    <w:div w:id="691489916">
      <w:bodyDiv w:val="1"/>
      <w:marLeft w:val="0"/>
      <w:marRight w:val="0"/>
      <w:marTop w:val="0"/>
      <w:marBottom w:val="0"/>
      <w:divBdr>
        <w:top w:val="none" w:sz="0" w:space="0" w:color="auto"/>
        <w:left w:val="none" w:sz="0" w:space="0" w:color="auto"/>
        <w:bottom w:val="none" w:sz="0" w:space="0" w:color="auto"/>
        <w:right w:val="none" w:sz="0" w:space="0" w:color="auto"/>
      </w:divBdr>
    </w:div>
    <w:div w:id="731464511">
      <w:marLeft w:val="0"/>
      <w:marRight w:val="0"/>
      <w:marTop w:val="0"/>
      <w:marBottom w:val="0"/>
      <w:divBdr>
        <w:top w:val="none" w:sz="0" w:space="0" w:color="auto"/>
        <w:left w:val="none" w:sz="0" w:space="0" w:color="auto"/>
        <w:bottom w:val="none" w:sz="0" w:space="0" w:color="auto"/>
        <w:right w:val="none" w:sz="0" w:space="0" w:color="auto"/>
      </w:divBdr>
      <w:divsChild>
        <w:div w:id="282812867">
          <w:marLeft w:val="0"/>
          <w:marRight w:val="0"/>
          <w:marTop w:val="0"/>
          <w:marBottom w:val="0"/>
          <w:divBdr>
            <w:top w:val="none" w:sz="0" w:space="0" w:color="auto"/>
            <w:left w:val="none" w:sz="0" w:space="0" w:color="auto"/>
            <w:bottom w:val="none" w:sz="0" w:space="0" w:color="auto"/>
            <w:right w:val="none" w:sz="0" w:space="0" w:color="auto"/>
          </w:divBdr>
        </w:div>
      </w:divsChild>
    </w:div>
    <w:div w:id="776370229">
      <w:bodyDiv w:val="1"/>
      <w:marLeft w:val="0"/>
      <w:marRight w:val="0"/>
      <w:marTop w:val="0"/>
      <w:marBottom w:val="0"/>
      <w:divBdr>
        <w:top w:val="none" w:sz="0" w:space="0" w:color="auto"/>
        <w:left w:val="none" w:sz="0" w:space="0" w:color="auto"/>
        <w:bottom w:val="none" w:sz="0" w:space="0" w:color="auto"/>
        <w:right w:val="none" w:sz="0" w:space="0" w:color="auto"/>
      </w:divBdr>
    </w:div>
    <w:div w:id="823814067">
      <w:bodyDiv w:val="1"/>
      <w:marLeft w:val="0"/>
      <w:marRight w:val="0"/>
      <w:marTop w:val="0"/>
      <w:marBottom w:val="0"/>
      <w:divBdr>
        <w:top w:val="none" w:sz="0" w:space="0" w:color="auto"/>
        <w:left w:val="none" w:sz="0" w:space="0" w:color="auto"/>
        <w:bottom w:val="none" w:sz="0" w:space="0" w:color="auto"/>
        <w:right w:val="none" w:sz="0" w:space="0" w:color="auto"/>
      </w:divBdr>
    </w:div>
    <w:div w:id="841236928">
      <w:bodyDiv w:val="1"/>
      <w:marLeft w:val="0"/>
      <w:marRight w:val="0"/>
      <w:marTop w:val="0"/>
      <w:marBottom w:val="0"/>
      <w:divBdr>
        <w:top w:val="none" w:sz="0" w:space="0" w:color="auto"/>
        <w:left w:val="none" w:sz="0" w:space="0" w:color="auto"/>
        <w:bottom w:val="none" w:sz="0" w:space="0" w:color="auto"/>
        <w:right w:val="none" w:sz="0" w:space="0" w:color="auto"/>
      </w:divBdr>
    </w:div>
    <w:div w:id="856700217">
      <w:bodyDiv w:val="1"/>
      <w:marLeft w:val="0"/>
      <w:marRight w:val="0"/>
      <w:marTop w:val="0"/>
      <w:marBottom w:val="0"/>
      <w:divBdr>
        <w:top w:val="none" w:sz="0" w:space="0" w:color="auto"/>
        <w:left w:val="none" w:sz="0" w:space="0" w:color="auto"/>
        <w:bottom w:val="none" w:sz="0" w:space="0" w:color="auto"/>
        <w:right w:val="none" w:sz="0" w:space="0" w:color="auto"/>
      </w:divBdr>
    </w:div>
    <w:div w:id="859929389">
      <w:bodyDiv w:val="1"/>
      <w:marLeft w:val="0"/>
      <w:marRight w:val="0"/>
      <w:marTop w:val="0"/>
      <w:marBottom w:val="0"/>
      <w:divBdr>
        <w:top w:val="none" w:sz="0" w:space="0" w:color="auto"/>
        <w:left w:val="none" w:sz="0" w:space="0" w:color="auto"/>
        <w:bottom w:val="none" w:sz="0" w:space="0" w:color="auto"/>
        <w:right w:val="none" w:sz="0" w:space="0" w:color="auto"/>
      </w:divBdr>
    </w:div>
    <w:div w:id="916403431">
      <w:bodyDiv w:val="1"/>
      <w:marLeft w:val="0"/>
      <w:marRight w:val="0"/>
      <w:marTop w:val="0"/>
      <w:marBottom w:val="0"/>
      <w:divBdr>
        <w:top w:val="none" w:sz="0" w:space="0" w:color="auto"/>
        <w:left w:val="none" w:sz="0" w:space="0" w:color="auto"/>
        <w:bottom w:val="none" w:sz="0" w:space="0" w:color="auto"/>
        <w:right w:val="none" w:sz="0" w:space="0" w:color="auto"/>
      </w:divBdr>
    </w:div>
    <w:div w:id="964694432">
      <w:marLeft w:val="0"/>
      <w:marRight w:val="0"/>
      <w:marTop w:val="0"/>
      <w:marBottom w:val="0"/>
      <w:divBdr>
        <w:top w:val="none" w:sz="0" w:space="0" w:color="auto"/>
        <w:left w:val="none" w:sz="0" w:space="0" w:color="auto"/>
        <w:bottom w:val="none" w:sz="0" w:space="0" w:color="auto"/>
        <w:right w:val="none" w:sz="0" w:space="0" w:color="auto"/>
      </w:divBdr>
      <w:divsChild>
        <w:div w:id="1832863370">
          <w:marLeft w:val="0"/>
          <w:marRight w:val="0"/>
          <w:marTop w:val="0"/>
          <w:marBottom w:val="0"/>
          <w:divBdr>
            <w:top w:val="none" w:sz="0" w:space="0" w:color="auto"/>
            <w:left w:val="none" w:sz="0" w:space="0" w:color="auto"/>
            <w:bottom w:val="none" w:sz="0" w:space="0" w:color="auto"/>
            <w:right w:val="none" w:sz="0" w:space="0" w:color="auto"/>
          </w:divBdr>
        </w:div>
      </w:divsChild>
    </w:div>
    <w:div w:id="993526733">
      <w:bodyDiv w:val="1"/>
      <w:marLeft w:val="0"/>
      <w:marRight w:val="0"/>
      <w:marTop w:val="0"/>
      <w:marBottom w:val="0"/>
      <w:divBdr>
        <w:top w:val="none" w:sz="0" w:space="0" w:color="auto"/>
        <w:left w:val="none" w:sz="0" w:space="0" w:color="auto"/>
        <w:bottom w:val="none" w:sz="0" w:space="0" w:color="auto"/>
        <w:right w:val="none" w:sz="0" w:space="0" w:color="auto"/>
      </w:divBdr>
    </w:div>
    <w:div w:id="1025132612">
      <w:bodyDiv w:val="1"/>
      <w:marLeft w:val="0"/>
      <w:marRight w:val="0"/>
      <w:marTop w:val="0"/>
      <w:marBottom w:val="0"/>
      <w:divBdr>
        <w:top w:val="none" w:sz="0" w:space="0" w:color="auto"/>
        <w:left w:val="none" w:sz="0" w:space="0" w:color="auto"/>
        <w:bottom w:val="none" w:sz="0" w:space="0" w:color="auto"/>
        <w:right w:val="none" w:sz="0" w:space="0" w:color="auto"/>
      </w:divBdr>
    </w:div>
    <w:div w:id="1030182429">
      <w:bodyDiv w:val="1"/>
      <w:marLeft w:val="0"/>
      <w:marRight w:val="0"/>
      <w:marTop w:val="0"/>
      <w:marBottom w:val="0"/>
      <w:divBdr>
        <w:top w:val="none" w:sz="0" w:space="0" w:color="auto"/>
        <w:left w:val="none" w:sz="0" w:space="0" w:color="auto"/>
        <w:bottom w:val="none" w:sz="0" w:space="0" w:color="auto"/>
        <w:right w:val="none" w:sz="0" w:space="0" w:color="auto"/>
      </w:divBdr>
    </w:div>
    <w:div w:id="1036851869">
      <w:bodyDiv w:val="1"/>
      <w:marLeft w:val="0"/>
      <w:marRight w:val="0"/>
      <w:marTop w:val="0"/>
      <w:marBottom w:val="0"/>
      <w:divBdr>
        <w:top w:val="none" w:sz="0" w:space="0" w:color="auto"/>
        <w:left w:val="none" w:sz="0" w:space="0" w:color="auto"/>
        <w:bottom w:val="none" w:sz="0" w:space="0" w:color="auto"/>
        <w:right w:val="none" w:sz="0" w:space="0" w:color="auto"/>
      </w:divBdr>
    </w:div>
    <w:div w:id="1075469114">
      <w:marLeft w:val="0"/>
      <w:marRight w:val="0"/>
      <w:marTop w:val="0"/>
      <w:marBottom w:val="0"/>
      <w:divBdr>
        <w:top w:val="none" w:sz="0" w:space="0" w:color="auto"/>
        <w:left w:val="none" w:sz="0" w:space="0" w:color="auto"/>
        <w:bottom w:val="none" w:sz="0" w:space="0" w:color="auto"/>
        <w:right w:val="none" w:sz="0" w:space="0" w:color="auto"/>
      </w:divBdr>
      <w:divsChild>
        <w:div w:id="379983715">
          <w:marLeft w:val="0"/>
          <w:marRight w:val="0"/>
          <w:marTop w:val="0"/>
          <w:marBottom w:val="0"/>
          <w:divBdr>
            <w:top w:val="none" w:sz="0" w:space="0" w:color="auto"/>
            <w:left w:val="none" w:sz="0" w:space="0" w:color="auto"/>
            <w:bottom w:val="none" w:sz="0" w:space="0" w:color="auto"/>
            <w:right w:val="none" w:sz="0" w:space="0" w:color="auto"/>
          </w:divBdr>
        </w:div>
      </w:divsChild>
    </w:div>
    <w:div w:id="1109199319">
      <w:bodyDiv w:val="1"/>
      <w:marLeft w:val="0"/>
      <w:marRight w:val="0"/>
      <w:marTop w:val="0"/>
      <w:marBottom w:val="0"/>
      <w:divBdr>
        <w:top w:val="none" w:sz="0" w:space="0" w:color="auto"/>
        <w:left w:val="none" w:sz="0" w:space="0" w:color="auto"/>
        <w:bottom w:val="none" w:sz="0" w:space="0" w:color="auto"/>
        <w:right w:val="none" w:sz="0" w:space="0" w:color="auto"/>
      </w:divBdr>
    </w:div>
    <w:div w:id="1115363299">
      <w:bodyDiv w:val="1"/>
      <w:marLeft w:val="0"/>
      <w:marRight w:val="0"/>
      <w:marTop w:val="0"/>
      <w:marBottom w:val="0"/>
      <w:divBdr>
        <w:top w:val="none" w:sz="0" w:space="0" w:color="auto"/>
        <w:left w:val="none" w:sz="0" w:space="0" w:color="auto"/>
        <w:bottom w:val="none" w:sz="0" w:space="0" w:color="auto"/>
        <w:right w:val="none" w:sz="0" w:space="0" w:color="auto"/>
      </w:divBdr>
    </w:div>
    <w:div w:id="1118136300">
      <w:marLeft w:val="0"/>
      <w:marRight w:val="0"/>
      <w:marTop w:val="0"/>
      <w:marBottom w:val="0"/>
      <w:divBdr>
        <w:top w:val="none" w:sz="0" w:space="0" w:color="auto"/>
        <w:left w:val="none" w:sz="0" w:space="0" w:color="auto"/>
        <w:bottom w:val="none" w:sz="0" w:space="0" w:color="auto"/>
        <w:right w:val="none" w:sz="0" w:space="0" w:color="auto"/>
      </w:divBdr>
      <w:divsChild>
        <w:div w:id="1065647024">
          <w:marLeft w:val="0"/>
          <w:marRight w:val="0"/>
          <w:marTop w:val="0"/>
          <w:marBottom w:val="0"/>
          <w:divBdr>
            <w:top w:val="none" w:sz="0" w:space="0" w:color="auto"/>
            <w:left w:val="none" w:sz="0" w:space="0" w:color="auto"/>
            <w:bottom w:val="none" w:sz="0" w:space="0" w:color="auto"/>
            <w:right w:val="none" w:sz="0" w:space="0" w:color="auto"/>
          </w:divBdr>
        </w:div>
      </w:divsChild>
    </w:div>
    <w:div w:id="1139348183">
      <w:marLeft w:val="0"/>
      <w:marRight w:val="0"/>
      <w:marTop w:val="0"/>
      <w:marBottom w:val="0"/>
      <w:divBdr>
        <w:top w:val="none" w:sz="0" w:space="0" w:color="auto"/>
        <w:left w:val="none" w:sz="0" w:space="0" w:color="auto"/>
        <w:bottom w:val="none" w:sz="0" w:space="0" w:color="auto"/>
        <w:right w:val="none" w:sz="0" w:space="0" w:color="auto"/>
      </w:divBdr>
      <w:divsChild>
        <w:div w:id="521669524">
          <w:marLeft w:val="0"/>
          <w:marRight w:val="0"/>
          <w:marTop w:val="0"/>
          <w:marBottom w:val="0"/>
          <w:divBdr>
            <w:top w:val="none" w:sz="0" w:space="0" w:color="auto"/>
            <w:left w:val="none" w:sz="0" w:space="0" w:color="auto"/>
            <w:bottom w:val="none" w:sz="0" w:space="0" w:color="auto"/>
            <w:right w:val="none" w:sz="0" w:space="0" w:color="auto"/>
          </w:divBdr>
        </w:div>
      </w:divsChild>
    </w:div>
    <w:div w:id="1168330655">
      <w:bodyDiv w:val="1"/>
      <w:marLeft w:val="0"/>
      <w:marRight w:val="0"/>
      <w:marTop w:val="0"/>
      <w:marBottom w:val="0"/>
      <w:divBdr>
        <w:top w:val="none" w:sz="0" w:space="0" w:color="auto"/>
        <w:left w:val="none" w:sz="0" w:space="0" w:color="auto"/>
        <w:bottom w:val="none" w:sz="0" w:space="0" w:color="auto"/>
        <w:right w:val="none" w:sz="0" w:space="0" w:color="auto"/>
      </w:divBdr>
    </w:div>
    <w:div w:id="1232035389">
      <w:bodyDiv w:val="1"/>
      <w:marLeft w:val="0"/>
      <w:marRight w:val="0"/>
      <w:marTop w:val="0"/>
      <w:marBottom w:val="0"/>
      <w:divBdr>
        <w:top w:val="none" w:sz="0" w:space="0" w:color="auto"/>
        <w:left w:val="none" w:sz="0" w:space="0" w:color="auto"/>
        <w:bottom w:val="none" w:sz="0" w:space="0" w:color="auto"/>
        <w:right w:val="none" w:sz="0" w:space="0" w:color="auto"/>
      </w:divBdr>
    </w:div>
    <w:div w:id="1306885381">
      <w:marLeft w:val="0"/>
      <w:marRight w:val="0"/>
      <w:marTop w:val="0"/>
      <w:marBottom w:val="0"/>
      <w:divBdr>
        <w:top w:val="none" w:sz="0" w:space="0" w:color="auto"/>
        <w:left w:val="none" w:sz="0" w:space="0" w:color="auto"/>
        <w:bottom w:val="none" w:sz="0" w:space="0" w:color="auto"/>
        <w:right w:val="none" w:sz="0" w:space="0" w:color="auto"/>
      </w:divBdr>
      <w:divsChild>
        <w:div w:id="1615478991">
          <w:marLeft w:val="0"/>
          <w:marRight w:val="0"/>
          <w:marTop w:val="0"/>
          <w:marBottom w:val="0"/>
          <w:divBdr>
            <w:top w:val="none" w:sz="0" w:space="0" w:color="auto"/>
            <w:left w:val="none" w:sz="0" w:space="0" w:color="auto"/>
            <w:bottom w:val="none" w:sz="0" w:space="0" w:color="auto"/>
            <w:right w:val="none" w:sz="0" w:space="0" w:color="auto"/>
          </w:divBdr>
        </w:div>
      </w:divsChild>
    </w:div>
    <w:div w:id="1343508711">
      <w:bodyDiv w:val="1"/>
      <w:marLeft w:val="0"/>
      <w:marRight w:val="0"/>
      <w:marTop w:val="0"/>
      <w:marBottom w:val="0"/>
      <w:divBdr>
        <w:top w:val="none" w:sz="0" w:space="0" w:color="auto"/>
        <w:left w:val="none" w:sz="0" w:space="0" w:color="auto"/>
        <w:bottom w:val="none" w:sz="0" w:space="0" w:color="auto"/>
        <w:right w:val="none" w:sz="0" w:space="0" w:color="auto"/>
      </w:divBdr>
      <w:divsChild>
        <w:div w:id="616453408">
          <w:marLeft w:val="878"/>
          <w:marRight w:val="0"/>
          <w:marTop w:val="178"/>
          <w:marBottom w:val="0"/>
          <w:divBdr>
            <w:top w:val="none" w:sz="0" w:space="0" w:color="auto"/>
            <w:left w:val="none" w:sz="0" w:space="0" w:color="auto"/>
            <w:bottom w:val="none" w:sz="0" w:space="0" w:color="auto"/>
            <w:right w:val="none" w:sz="0" w:space="0" w:color="auto"/>
          </w:divBdr>
        </w:div>
        <w:div w:id="773936171">
          <w:marLeft w:val="1930"/>
          <w:marRight w:val="0"/>
          <w:marTop w:val="168"/>
          <w:marBottom w:val="0"/>
          <w:divBdr>
            <w:top w:val="none" w:sz="0" w:space="0" w:color="auto"/>
            <w:left w:val="none" w:sz="0" w:space="0" w:color="auto"/>
            <w:bottom w:val="none" w:sz="0" w:space="0" w:color="auto"/>
            <w:right w:val="none" w:sz="0" w:space="0" w:color="auto"/>
          </w:divBdr>
        </w:div>
        <w:div w:id="1124079897">
          <w:marLeft w:val="1930"/>
          <w:marRight w:val="0"/>
          <w:marTop w:val="168"/>
          <w:marBottom w:val="0"/>
          <w:divBdr>
            <w:top w:val="none" w:sz="0" w:space="0" w:color="auto"/>
            <w:left w:val="none" w:sz="0" w:space="0" w:color="auto"/>
            <w:bottom w:val="none" w:sz="0" w:space="0" w:color="auto"/>
            <w:right w:val="none" w:sz="0" w:space="0" w:color="auto"/>
          </w:divBdr>
        </w:div>
        <w:div w:id="200674969">
          <w:marLeft w:val="1930"/>
          <w:marRight w:val="0"/>
          <w:marTop w:val="168"/>
          <w:marBottom w:val="0"/>
          <w:divBdr>
            <w:top w:val="none" w:sz="0" w:space="0" w:color="auto"/>
            <w:left w:val="none" w:sz="0" w:space="0" w:color="auto"/>
            <w:bottom w:val="none" w:sz="0" w:space="0" w:color="auto"/>
            <w:right w:val="none" w:sz="0" w:space="0" w:color="auto"/>
          </w:divBdr>
        </w:div>
        <w:div w:id="1287084298">
          <w:marLeft w:val="1930"/>
          <w:marRight w:val="0"/>
          <w:marTop w:val="168"/>
          <w:marBottom w:val="0"/>
          <w:divBdr>
            <w:top w:val="none" w:sz="0" w:space="0" w:color="auto"/>
            <w:left w:val="none" w:sz="0" w:space="0" w:color="auto"/>
            <w:bottom w:val="none" w:sz="0" w:space="0" w:color="auto"/>
            <w:right w:val="none" w:sz="0" w:space="0" w:color="auto"/>
          </w:divBdr>
        </w:div>
        <w:div w:id="905800372">
          <w:marLeft w:val="1930"/>
          <w:marRight w:val="0"/>
          <w:marTop w:val="168"/>
          <w:marBottom w:val="0"/>
          <w:divBdr>
            <w:top w:val="none" w:sz="0" w:space="0" w:color="auto"/>
            <w:left w:val="none" w:sz="0" w:space="0" w:color="auto"/>
            <w:bottom w:val="none" w:sz="0" w:space="0" w:color="auto"/>
            <w:right w:val="none" w:sz="0" w:space="0" w:color="auto"/>
          </w:divBdr>
        </w:div>
        <w:div w:id="278413387">
          <w:marLeft w:val="1930"/>
          <w:marRight w:val="0"/>
          <w:marTop w:val="168"/>
          <w:marBottom w:val="0"/>
          <w:divBdr>
            <w:top w:val="none" w:sz="0" w:space="0" w:color="auto"/>
            <w:left w:val="none" w:sz="0" w:space="0" w:color="auto"/>
            <w:bottom w:val="none" w:sz="0" w:space="0" w:color="auto"/>
            <w:right w:val="none" w:sz="0" w:space="0" w:color="auto"/>
          </w:divBdr>
        </w:div>
        <w:div w:id="987904530">
          <w:marLeft w:val="1930"/>
          <w:marRight w:val="0"/>
          <w:marTop w:val="168"/>
          <w:marBottom w:val="0"/>
          <w:divBdr>
            <w:top w:val="none" w:sz="0" w:space="0" w:color="auto"/>
            <w:left w:val="none" w:sz="0" w:space="0" w:color="auto"/>
            <w:bottom w:val="none" w:sz="0" w:space="0" w:color="auto"/>
            <w:right w:val="none" w:sz="0" w:space="0" w:color="auto"/>
          </w:divBdr>
        </w:div>
      </w:divsChild>
    </w:div>
    <w:div w:id="1345016991">
      <w:bodyDiv w:val="1"/>
      <w:marLeft w:val="0"/>
      <w:marRight w:val="0"/>
      <w:marTop w:val="0"/>
      <w:marBottom w:val="0"/>
      <w:divBdr>
        <w:top w:val="none" w:sz="0" w:space="0" w:color="auto"/>
        <w:left w:val="none" w:sz="0" w:space="0" w:color="auto"/>
        <w:bottom w:val="none" w:sz="0" w:space="0" w:color="auto"/>
        <w:right w:val="none" w:sz="0" w:space="0" w:color="auto"/>
      </w:divBdr>
    </w:div>
    <w:div w:id="1368986643">
      <w:bodyDiv w:val="1"/>
      <w:marLeft w:val="0"/>
      <w:marRight w:val="0"/>
      <w:marTop w:val="0"/>
      <w:marBottom w:val="0"/>
      <w:divBdr>
        <w:top w:val="none" w:sz="0" w:space="0" w:color="auto"/>
        <w:left w:val="none" w:sz="0" w:space="0" w:color="auto"/>
        <w:bottom w:val="none" w:sz="0" w:space="0" w:color="auto"/>
        <w:right w:val="none" w:sz="0" w:space="0" w:color="auto"/>
      </w:divBdr>
    </w:div>
    <w:div w:id="1400708494">
      <w:bodyDiv w:val="1"/>
      <w:marLeft w:val="0"/>
      <w:marRight w:val="0"/>
      <w:marTop w:val="0"/>
      <w:marBottom w:val="0"/>
      <w:divBdr>
        <w:top w:val="none" w:sz="0" w:space="0" w:color="auto"/>
        <w:left w:val="none" w:sz="0" w:space="0" w:color="auto"/>
        <w:bottom w:val="none" w:sz="0" w:space="0" w:color="auto"/>
        <w:right w:val="none" w:sz="0" w:space="0" w:color="auto"/>
      </w:divBdr>
    </w:div>
    <w:div w:id="1435007096">
      <w:bodyDiv w:val="1"/>
      <w:marLeft w:val="0"/>
      <w:marRight w:val="0"/>
      <w:marTop w:val="0"/>
      <w:marBottom w:val="0"/>
      <w:divBdr>
        <w:top w:val="none" w:sz="0" w:space="0" w:color="auto"/>
        <w:left w:val="none" w:sz="0" w:space="0" w:color="auto"/>
        <w:bottom w:val="none" w:sz="0" w:space="0" w:color="auto"/>
        <w:right w:val="none" w:sz="0" w:space="0" w:color="auto"/>
      </w:divBdr>
    </w:div>
    <w:div w:id="1489325225">
      <w:bodyDiv w:val="1"/>
      <w:marLeft w:val="0"/>
      <w:marRight w:val="0"/>
      <w:marTop w:val="0"/>
      <w:marBottom w:val="0"/>
      <w:divBdr>
        <w:top w:val="none" w:sz="0" w:space="0" w:color="auto"/>
        <w:left w:val="none" w:sz="0" w:space="0" w:color="auto"/>
        <w:bottom w:val="none" w:sz="0" w:space="0" w:color="auto"/>
        <w:right w:val="none" w:sz="0" w:space="0" w:color="auto"/>
      </w:divBdr>
    </w:div>
    <w:div w:id="1552688864">
      <w:marLeft w:val="0"/>
      <w:marRight w:val="0"/>
      <w:marTop w:val="0"/>
      <w:marBottom w:val="0"/>
      <w:divBdr>
        <w:top w:val="none" w:sz="0" w:space="0" w:color="auto"/>
        <w:left w:val="none" w:sz="0" w:space="0" w:color="auto"/>
        <w:bottom w:val="none" w:sz="0" w:space="0" w:color="auto"/>
        <w:right w:val="none" w:sz="0" w:space="0" w:color="auto"/>
      </w:divBdr>
      <w:divsChild>
        <w:div w:id="604730382">
          <w:marLeft w:val="0"/>
          <w:marRight w:val="0"/>
          <w:marTop w:val="0"/>
          <w:marBottom w:val="0"/>
          <w:divBdr>
            <w:top w:val="none" w:sz="0" w:space="0" w:color="auto"/>
            <w:left w:val="none" w:sz="0" w:space="0" w:color="auto"/>
            <w:bottom w:val="none" w:sz="0" w:space="0" w:color="auto"/>
            <w:right w:val="none" w:sz="0" w:space="0" w:color="auto"/>
          </w:divBdr>
        </w:div>
      </w:divsChild>
    </w:div>
    <w:div w:id="1570992781">
      <w:bodyDiv w:val="1"/>
      <w:marLeft w:val="0"/>
      <w:marRight w:val="0"/>
      <w:marTop w:val="0"/>
      <w:marBottom w:val="0"/>
      <w:divBdr>
        <w:top w:val="none" w:sz="0" w:space="0" w:color="auto"/>
        <w:left w:val="none" w:sz="0" w:space="0" w:color="auto"/>
        <w:bottom w:val="none" w:sz="0" w:space="0" w:color="auto"/>
        <w:right w:val="none" w:sz="0" w:space="0" w:color="auto"/>
      </w:divBdr>
    </w:div>
    <w:div w:id="1750496985">
      <w:bodyDiv w:val="1"/>
      <w:marLeft w:val="0"/>
      <w:marRight w:val="0"/>
      <w:marTop w:val="0"/>
      <w:marBottom w:val="0"/>
      <w:divBdr>
        <w:top w:val="none" w:sz="0" w:space="0" w:color="auto"/>
        <w:left w:val="none" w:sz="0" w:space="0" w:color="auto"/>
        <w:bottom w:val="none" w:sz="0" w:space="0" w:color="auto"/>
        <w:right w:val="none" w:sz="0" w:space="0" w:color="auto"/>
      </w:divBdr>
    </w:div>
    <w:div w:id="1754012342">
      <w:bodyDiv w:val="1"/>
      <w:marLeft w:val="0"/>
      <w:marRight w:val="0"/>
      <w:marTop w:val="0"/>
      <w:marBottom w:val="0"/>
      <w:divBdr>
        <w:top w:val="none" w:sz="0" w:space="0" w:color="auto"/>
        <w:left w:val="none" w:sz="0" w:space="0" w:color="auto"/>
        <w:bottom w:val="none" w:sz="0" w:space="0" w:color="auto"/>
        <w:right w:val="none" w:sz="0" w:space="0" w:color="auto"/>
      </w:divBdr>
    </w:div>
    <w:div w:id="1823346273">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911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909CB29B6F24549B633F12773FD39EE" ma:contentTypeVersion="44" ma:contentTypeDescription="Crie um novo documento." ma:contentTypeScope="" ma:versionID="9e17c963e8915d2537cf283bb1cf9d63">
  <xsd:schema xmlns:xsd="http://www.w3.org/2001/XMLSchema" xmlns:xs="http://www.w3.org/2001/XMLSchema" xmlns:p="http://schemas.microsoft.com/office/2006/metadata/properties" xmlns:ns1="http://schemas.microsoft.com/sharepoint/v3" xmlns:ns2="d296cc71-5d98-43cb-9022-62bdf2adc570" xmlns:ns3="cab9443d-e875-490f-becd-80caf65fbf12" xmlns:ns4="b2df8dff-e853-4b8e-b27b-cee136c95117" xmlns:ns5="39a54896-fcd5-46ac-88d0-402f810c0b89" targetNamespace="http://schemas.microsoft.com/office/2006/metadata/properties" ma:root="true" ma:fieldsID="0e3a185afc0a1867a972c6f201785a70" ns1:_="" ns2:_="" ns3:_="" ns4:_="" ns5:_="">
    <xsd:import namespace="http://schemas.microsoft.com/sharepoint/v3"/>
    <xsd:import namespace="d296cc71-5d98-43cb-9022-62bdf2adc570"/>
    <xsd:import namespace="cab9443d-e875-490f-becd-80caf65fbf12"/>
    <xsd:import namespace="b2df8dff-e853-4b8e-b27b-cee136c95117"/>
    <xsd:import namespace="39a54896-fcd5-46ac-88d0-402f810c0b89"/>
    <xsd:element name="properties">
      <xsd:complexType>
        <xsd:sequence>
          <xsd:element name="documentManagement">
            <xsd:complexType>
              <xsd:all>
                <xsd:element ref="ns2:Data"/>
                <xsd:element ref="ns3:Tipo_x0020_de_x0020_Download"/>
                <xsd:element ref="ns4:DocumentoAnual" minOccurs="0"/>
                <xsd:element ref="ns5:TipoDeConteudoAcesso"/>
                <xsd:element ref="ns1:PublishingStartDate" minOccurs="0"/>
                <xsd:element ref="ns1:PublishingExpirationDat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Agendamento de Data de Início" ma:description="Data de Início de Agendamento é uma coluna de site criada pelo recurso de Publicação. Ela é usada para especificar a data e hora em que essa página aparecerá pela primeira vez aos visitantes do site." ma:internalName="PublishingStartDate">
      <xsd:simpleType>
        <xsd:restriction base="dms:Unknown"/>
      </xsd:simpleType>
    </xsd:element>
    <xsd:element name="PublishingExpirationDate" ma:index="7" nillable="true" ma:displayName="Agendamento de Data de Término" ma:description="Data Final de Agendamento é uma coluna de site criada pelo recurso de Publicação. Ela é usada para especificar a data e a hora em que essa página não será mais exibida aos visitantes do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6cc71-5d98-43cb-9022-62bdf2adc570" elementFormDefault="qualified">
    <xsd:import namespace="http://schemas.microsoft.com/office/2006/documentManagement/types"/>
    <xsd:import namespace="http://schemas.microsoft.com/office/infopath/2007/PartnerControls"/>
    <xsd:element name="Data" ma:index="2" ma:displayName="Data de Referência" ma:description="Informe a data correspondente ao período do documento. Não utilize a data de publicação." ma:format="DateOnly"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b9443d-e875-490f-becd-80caf65fbf12" elementFormDefault="qualified">
    <xsd:import namespace="http://schemas.microsoft.com/office/2006/documentManagement/types"/>
    <xsd:import namespace="http://schemas.microsoft.com/office/infopath/2007/PartnerControls"/>
    <xsd:element name="Tipo_x0020_de_x0020_Download" ma:index="3" ma:displayName="Tipo de Download" ma:description="Selecione a categoria de download ou página relacionada ao documento." ma:indexed="true" ma:list="975de27f-7b5e-418a-a365-5db78b7f3513" ma:internalName="Tipo_x0020_de_x0020_Download" ma:showField="Title" ma:web="cab9443d-e875-490f-becd-80caf65fbf12">
      <xsd:simpleType>
        <xsd:restriction base="dms:Lookup"/>
      </xsd:simpleType>
    </xsd:element>
    <xsd:element name="TaxCatchAll" ma:index="9" nillable="true" ma:displayName="Coluna Global de Taxonomia" ma:hidden="true" ma:list="{4eb8de8d-8248-486d-8378-a43bb5bb6e60}" ma:internalName="TaxCatchAll" ma:readOnly="false" ma:showField="CatchAllData" ma:web="cab9443d-e875-490f-becd-80caf65fbf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df8dff-e853-4b8e-b27b-cee136c95117" elementFormDefault="qualified">
    <xsd:import namespace="http://schemas.microsoft.com/office/2006/documentManagement/types"/>
    <xsd:import namespace="http://schemas.microsoft.com/office/infopath/2007/PartnerControls"/>
    <xsd:element name="DocumentoAnual" ma:index="4" nillable="true" ma:displayName="Documento Anual" ma:default="0" ma:description="Identifica que o documento será apresentado no agrupamento anual, mesmo quando a página for configurada para outro período." ma:internalName="DocumentoAnu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a54896-fcd5-46ac-88d0-402f810c0b89" elementFormDefault="qualified">
    <xsd:import namespace="http://schemas.microsoft.com/office/2006/documentManagement/types"/>
    <xsd:import namespace="http://schemas.microsoft.com/office/infopath/2007/PartnerControls"/>
    <xsd:element name="TipoDeConteudoAcesso" ma:index="5" ma:displayName="Tipo de Conteúdo" ma:default="Downloads" ma:format="Dropdown" ma:internalName="TipoDeConteudoAcesso">
      <xsd:simpleType>
        <xsd:restriction base="dms:Choice">
          <xsd:enumeration value="Notícias"/>
          <xsd:enumeration value="Serviços"/>
          <xsd:enumeration value="Legislação"/>
          <xsd:enumeration value="Downloads"/>
          <xsd:enumeration value="Eventos"/>
          <xsd:enumeration value="Diário Oficial"/>
          <xsd:enumeration value="Agenda"/>
          <xsd:enumeration value="Educação Fiscal"/>
          <xsd:enumeration value="Vídeo"/>
          <xsd:enumeration value="Perguntas Frequen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po_x0020_de_x0020_Download xmlns="cab9443d-e875-490f-becd-80caf65fbf12">705</Tipo_x0020_de_x0020_Download>
    <Data xmlns="d296cc71-5d98-43cb-9022-62bdf2adc570">2024-12-26T03:00:00+00:00</Data>
    <DocumentoAnual xmlns="b2df8dff-e853-4b8e-b27b-cee136c95117">false</DocumentoAnual>
    <TipoDeConteudoAcesso xmlns="39a54896-fcd5-46ac-88d0-402f810c0b89">Downloads</TipoDeConteudoAcesso>
    <PublishingExpirationDate xmlns="http://schemas.microsoft.com/sharepoint/v3" xsi:nil="true"/>
    <PublishingStartDate xmlns="http://schemas.microsoft.com/sharepoint/v3" xsi:nil="true"/>
    <TaxCatchAll xmlns="cab9443d-e875-490f-becd-80caf65fbf12"/>
  </documentManagement>
</p:properties>
</file>

<file path=customXml/itemProps1.xml><?xml version="1.0" encoding="utf-8"?>
<ds:datastoreItem xmlns:ds="http://schemas.openxmlformats.org/officeDocument/2006/customXml" ds:itemID="{C48BAAC6-119E-472D-A0F6-4A2B41AD2F52}">
  <ds:schemaRefs>
    <ds:schemaRef ds:uri="http://schemas.openxmlformats.org/officeDocument/2006/bibliography"/>
  </ds:schemaRefs>
</ds:datastoreItem>
</file>

<file path=customXml/itemProps2.xml><?xml version="1.0" encoding="utf-8"?>
<ds:datastoreItem xmlns:ds="http://schemas.openxmlformats.org/officeDocument/2006/customXml" ds:itemID="{15A842C0-1229-4FA7-9A26-DAD8D0AA37BA}"/>
</file>

<file path=customXml/itemProps3.xml><?xml version="1.0" encoding="utf-8"?>
<ds:datastoreItem xmlns:ds="http://schemas.openxmlformats.org/officeDocument/2006/customXml" ds:itemID="{4D10ED26-5522-41B6-8BC6-67C97A793F69}"/>
</file>

<file path=customXml/itemProps4.xml><?xml version="1.0" encoding="utf-8"?>
<ds:datastoreItem xmlns:ds="http://schemas.openxmlformats.org/officeDocument/2006/customXml" ds:itemID="{F8F3FBBB-904F-4752-AFE6-8B816671CC52}"/>
</file>

<file path=docProps/app.xml><?xml version="1.0" encoding="utf-8"?>
<Properties xmlns="http://schemas.openxmlformats.org/officeDocument/2006/extended-properties" xmlns:vt="http://schemas.openxmlformats.org/officeDocument/2006/docPropsVTypes">
  <Template>Normal</Template>
  <TotalTime>36</TotalTime>
  <Pages>6</Pages>
  <Words>2713</Words>
  <Characters>14655</Characters>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Metodológica Gastos Tributários de ICMS</dc:title>
  <cp:lastPrinted>2024-03-15T17:57:00Z</cp:lastPrinted>
  <dcterms:created xsi:type="dcterms:W3CDTF">2024-11-05T18:30:00Z</dcterms:created>
  <dcterms:modified xsi:type="dcterms:W3CDTF">2024-11-18T20:06:00Z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0x010100F909CB29B6F24549B633F12773FD39EE</vt:lpwstr>
  </property>
</Properties>
</file>